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FFF3" w14:textId="1E5FDA7B" w:rsidR="00F832F2" w:rsidRDefault="002742F8" w:rsidP="00372CF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59216F" wp14:editId="1D7B4DBA">
            <wp:simplePos x="0" y="0"/>
            <wp:positionH relativeFrom="column">
              <wp:posOffset>5016500</wp:posOffset>
            </wp:positionH>
            <wp:positionV relativeFrom="paragraph">
              <wp:posOffset>206375</wp:posOffset>
            </wp:positionV>
            <wp:extent cx="2232087" cy="4292600"/>
            <wp:effectExtent l="0" t="0" r="0" b="0"/>
            <wp:wrapTight wrapText="bothSides">
              <wp:wrapPolygon edited="0">
                <wp:start x="0" y="0"/>
                <wp:lineTo x="0" y="21472"/>
                <wp:lineTo x="21385" y="21472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87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CFC">
        <w:t>Diabetic Foot Infections</w:t>
      </w:r>
    </w:p>
    <w:p w14:paraId="0EB0114C" w14:textId="36D4D799" w:rsidR="00372CFC" w:rsidRDefault="00372CFC" w:rsidP="00BB3E35">
      <w:pPr>
        <w:pStyle w:val="NoSpacing"/>
      </w:pPr>
      <w:r>
        <w:t>Background</w:t>
      </w:r>
    </w:p>
    <w:p w14:paraId="6525E16E" w14:textId="77777777" w:rsidR="002742F8" w:rsidRPr="002742F8" w:rsidRDefault="002742F8" w:rsidP="002742F8">
      <w:pPr>
        <w:pStyle w:val="ListParagraph"/>
        <w:numPr>
          <w:ilvl w:val="0"/>
          <w:numId w:val="1"/>
        </w:numPr>
      </w:pPr>
      <w:r>
        <w:t>An</w:t>
      </w:r>
      <w:r w:rsidR="00012E06">
        <w:t xml:space="preserve">nual incidence of </w:t>
      </w:r>
      <w:r>
        <w:t xml:space="preserve">foot ulcer among diabetics: </w:t>
      </w:r>
      <w:r w:rsidR="00012E06">
        <w:t>2.2%</w:t>
      </w:r>
      <w:r>
        <w:t xml:space="preserve"> (5% among US veterans with diabetes) with lifetime incidence of 20-34%. Globally, &gt; 9 million people develop a diabetic foot ulcer annually and more than half of these become infected</w:t>
      </w:r>
      <w:r>
        <w:rPr>
          <w:vertAlign w:val="superscript"/>
        </w:rPr>
        <w:t>1</w:t>
      </w:r>
    </w:p>
    <w:p w14:paraId="50A73C13" w14:textId="77777777" w:rsidR="002742F8" w:rsidRDefault="002742F8" w:rsidP="002742F8">
      <w:pPr>
        <w:pStyle w:val="ListParagraph"/>
        <w:numPr>
          <w:ilvl w:val="0"/>
          <w:numId w:val="1"/>
        </w:numPr>
      </w:pPr>
      <w:r>
        <w:t>Lower extremity infections occur in diabetics due to a confluence of risk factors:</w:t>
      </w:r>
    </w:p>
    <w:p w14:paraId="543EC8AF" w14:textId="77777777" w:rsidR="002742F8" w:rsidRDefault="002742F8" w:rsidP="002742F8">
      <w:pPr>
        <w:pStyle w:val="ListParagraph"/>
        <w:numPr>
          <w:ilvl w:val="1"/>
          <w:numId w:val="1"/>
        </w:numPr>
      </w:pPr>
      <w:r>
        <w:t>Hyperglycemia impairs multiple aspects of immune response (chemotaxis, adherence, opsonization, phagocytosis)</w:t>
      </w:r>
    </w:p>
    <w:p w14:paraId="623343DB" w14:textId="77777777" w:rsidR="002742F8" w:rsidRDefault="002742F8" w:rsidP="002742F8">
      <w:pPr>
        <w:pStyle w:val="ListParagraph"/>
        <w:numPr>
          <w:ilvl w:val="1"/>
          <w:numId w:val="1"/>
        </w:numPr>
      </w:pPr>
      <w:r>
        <w:t>Vascular insufficiency – impairs wound healing, delivery of Abx</w:t>
      </w:r>
    </w:p>
    <w:p w14:paraId="6F670C09" w14:textId="7C80D57D" w:rsidR="002742F8" w:rsidRDefault="002742F8" w:rsidP="002742F8">
      <w:pPr>
        <w:pStyle w:val="ListParagraph"/>
        <w:numPr>
          <w:ilvl w:val="1"/>
          <w:numId w:val="1"/>
        </w:numPr>
      </w:pPr>
      <w:r>
        <w:t>Neuropathy – Local trauma</w:t>
      </w:r>
      <w:r w:rsidR="009B39BA">
        <w:t>, delayed recognition</w:t>
      </w:r>
    </w:p>
    <w:p w14:paraId="04037BE1" w14:textId="22973398" w:rsidR="00BB3E35" w:rsidRDefault="00BB3E35" w:rsidP="00372CFC">
      <w:pPr>
        <w:pStyle w:val="ListParagraph"/>
        <w:numPr>
          <w:ilvl w:val="0"/>
          <w:numId w:val="1"/>
        </w:numPr>
      </w:pPr>
      <w:r>
        <w:t>Most diabetic foot infections develop as the result of neuropathic or ischemic wound</w:t>
      </w:r>
      <w:r w:rsidR="009C4AEA">
        <w:t>s</w:t>
      </w:r>
    </w:p>
    <w:p w14:paraId="46CA2487" w14:textId="0CE41DBC" w:rsidR="009C4AEA" w:rsidRDefault="009C4AEA" w:rsidP="009C4AEA">
      <w:pPr>
        <w:pStyle w:val="ListParagraph"/>
        <w:numPr>
          <w:ilvl w:val="1"/>
          <w:numId w:val="1"/>
        </w:numPr>
      </w:pPr>
      <w:r>
        <w:t>Not all diabetic foot wounds are infected, but all will have bacteria if cultured</w:t>
      </w:r>
    </w:p>
    <w:p w14:paraId="51F391DE" w14:textId="0AA6107B" w:rsidR="00012E06" w:rsidRDefault="00012E06" w:rsidP="002742F8">
      <w:pPr>
        <w:pStyle w:val="NoSpacing"/>
      </w:pPr>
      <w:r>
        <w:t>Microbiology</w:t>
      </w:r>
    </w:p>
    <w:p w14:paraId="082FDA2D" w14:textId="77777777" w:rsidR="00012E06" w:rsidRDefault="00012E06" w:rsidP="00012E06">
      <w:pPr>
        <w:pStyle w:val="ListParagraph"/>
        <w:numPr>
          <w:ilvl w:val="0"/>
          <w:numId w:val="1"/>
        </w:numPr>
      </w:pPr>
      <w:r>
        <w:t>Often polymicrobial</w:t>
      </w:r>
    </w:p>
    <w:p w14:paraId="2ED1B2BC" w14:textId="33D9DD10" w:rsidR="00012E06" w:rsidRDefault="00012E06" w:rsidP="00012E06">
      <w:pPr>
        <w:pStyle w:val="ListParagraph"/>
        <w:numPr>
          <w:ilvl w:val="1"/>
          <w:numId w:val="1"/>
        </w:numPr>
      </w:pPr>
      <w:r>
        <w:t xml:space="preserve">For mild infection main drivers are Gm + (MSSA, MRSA, GAS, </w:t>
      </w:r>
      <w:proofErr w:type="spellStart"/>
      <w:r>
        <w:t>CoNS</w:t>
      </w:r>
      <w:proofErr w:type="spellEnd"/>
      <w:r>
        <w:t>)</w:t>
      </w:r>
    </w:p>
    <w:p w14:paraId="3DC2AD97" w14:textId="3458EA6E" w:rsidR="00012E06" w:rsidRDefault="00012E06" w:rsidP="00012E06">
      <w:pPr>
        <w:pStyle w:val="ListParagraph"/>
        <w:numPr>
          <w:ilvl w:val="1"/>
          <w:numId w:val="1"/>
        </w:numPr>
      </w:pPr>
      <w:r>
        <w:t>Deeper, necrotic infections have more gram negatives and anaerobes</w:t>
      </w:r>
    </w:p>
    <w:p w14:paraId="708A44C8" w14:textId="2E9463DD" w:rsidR="00012E06" w:rsidRDefault="00012E06" w:rsidP="00012E06">
      <w:pPr>
        <w:pStyle w:val="ListParagraph"/>
        <w:numPr>
          <w:ilvl w:val="0"/>
          <w:numId w:val="1"/>
        </w:numPr>
      </w:pPr>
      <w:r w:rsidRPr="00012E06">
        <w:rPr>
          <w:i/>
          <w:iCs/>
        </w:rPr>
        <w:t>Pseudomonas aeruginosa</w:t>
      </w:r>
      <w:r>
        <w:t xml:space="preserve"> is occasionally recovered</w:t>
      </w:r>
      <w:r w:rsidR="002742F8">
        <w:t>,</w:t>
      </w:r>
      <w:r>
        <w:t xml:space="preserve"> however it often doesn’t need to be </w:t>
      </w:r>
      <w:r w:rsidR="002742F8">
        <w:t>specifically treated</w:t>
      </w:r>
    </w:p>
    <w:p w14:paraId="037D9F13" w14:textId="0DC7D162" w:rsidR="00012E06" w:rsidRDefault="00012E06" w:rsidP="00012E06">
      <w:pPr>
        <w:pStyle w:val="ListParagraph"/>
        <w:numPr>
          <w:ilvl w:val="1"/>
          <w:numId w:val="1"/>
        </w:numPr>
      </w:pPr>
      <w:r>
        <w:t>SIDESTEP trial of 586 patients with DFI compared ertapenem to pip-</w:t>
      </w:r>
      <w:proofErr w:type="spellStart"/>
      <w:r>
        <w:t>tazo</w:t>
      </w:r>
      <w:proofErr w:type="spellEnd"/>
      <w:r>
        <w:t xml:space="preserve"> x at least 5 days followed by up to 23 days of </w:t>
      </w:r>
      <w:proofErr w:type="spellStart"/>
      <w:r>
        <w:t>amox-clav</w:t>
      </w:r>
      <w:proofErr w:type="spellEnd"/>
      <w:r>
        <w:t>. Favorable response was 94% in pip-</w:t>
      </w:r>
      <w:proofErr w:type="spellStart"/>
      <w:r>
        <w:t>tazo</w:t>
      </w:r>
      <w:proofErr w:type="spellEnd"/>
      <w:r>
        <w:t xml:space="preserve"> arm and 92% in ertapenem arm (seen even in patients who grew pseudomonas)</w:t>
      </w:r>
      <w:r w:rsidR="002742F8">
        <w:rPr>
          <w:vertAlign w:val="superscript"/>
        </w:rPr>
        <w:t>2</w:t>
      </w:r>
    </w:p>
    <w:p w14:paraId="2796F803" w14:textId="4AED2371" w:rsidR="009C4AEA" w:rsidRDefault="009C4AEA" w:rsidP="00655727">
      <w:pPr>
        <w:pStyle w:val="NoSpacing"/>
      </w:pPr>
      <w:r>
        <w:t>Diagnosis</w:t>
      </w:r>
    </w:p>
    <w:p w14:paraId="0434A0C2" w14:textId="7F6180AD" w:rsidR="009C4AEA" w:rsidRDefault="00CC4076" w:rsidP="00504BD4">
      <w:pPr>
        <w:pStyle w:val="ListParagraph"/>
        <w:numPr>
          <w:ilvl w:val="0"/>
          <w:numId w:val="1"/>
        </w:numPr>
      </w:pPr>
      <w:r>
        <w:t>B</w:t>
      </w:r>
      <w:r w:rsidR="00504BD4">
        <w:t>ased on clinical manifestations</w:t>
      </w:r>
      <w:r>
        <w:t xml:space="preserve"> (two or more) NOT microbiology:</w:t>
      </w:r>
    </w:p>
    <w:p w14:paraId="4941FB8C" w14:textId="0DC0504A" w:rsidR="00504BD4" w:rsidRDefault="00504BD4" w:rsidP="00504BD4">
      <w:pPr>
        <w:pStyle w:val="ListParagraph"/>
        <w:numPr>
          <w:ilvl w:val="1"/>
          <w:numId w:val="1"/>
        </w:numPr>
      </w:pPr>
      <w:r>
        <w:t>Erythema, warmth, tenderness, swelling, induration, purulence</w:t>
      </w:r>
    </w:p>
    <w:p w14:paraId="24C80706" w14:textId="5D30A910" w:rsidR="00CC4076" w:rsidRDefault="00CC4076" w:rsidP="00504BD4">
      <w:pPr>
        <w:pStyle w:val="ListParagraph"/>
        <w:numPr>
          <w:ilvl w:val="0"/>
          <w:numId w:val="1"/>
        </w:numPr>
      </w:pPr>
      <w:r>
        <w:t>Severity assessment &amp; amputation risk: PEDIS (Perfusion, Extent, Depth, Infection, Sensation)</w:t>
      </w:r>
    </w:p>
    <w:p w14:paraId="5231F2CB" w14:textId="57060737" w:rsidR="00CC4076" w:rsidRDefault="00CC4076" w:rsidP="00CC4076">
      <w:pPr>
        <w:pStyle w:val="ListParagraph"/>
        <w:numPr>
          <w:ilvl w:val="1"/>
          <w:numId w:val="1"/>
        </w:numPr>
      </w:pPr>
      <w:r>
        <w:t>Mild: &lt;2cm of surrounding erythema, no deep structures involved, no SIRS</w:t>
      </w:r>
    </w:p>
    <w:p w14:paraId="1D4FA046" w14:textId="1E796AFE" w:rsidR="00CC4076" w:rsidRDefault="00CC4076" w:rsidP="00CC4076">
      <w:pPr>
        <w:pStyle w:val="ListParagraph"/>
        <w:numPr>
          <w:ilvl w:val="1"/>
          <w:numId w:val="1"/>
        </w:numPr>
      </w:pPr>
      <w:r>
        <w:t>Moderate: &gt;2cm of erythema, deep structures involved, no SIRS</w:t>
      </w:r>
    </w:p>
    <w:p w14:paraId="54F16FCC" w14:textId="63B6189A" w:rsidR="00CC4076" w:rsidRDefault="00CC4076" w:rsidP="00CC4076">
      <w:pPr>
        <w:pStyle w:val="ListParagraph"/>
        <w:numPr>
          <w:ilvl w:val="1"/>
          <w:numId w:val="1"/>
        </w:numPr>
      </w:pPr>
      <w:r>
        <w:t>Severe: SIRS present</w:t>
      </w:r>
    </w:p>
    <w:p w14:paraId="5D3E0328" w14:textId="63F6D5F0" w:rsidR="00CC4076" w:rsidRDefault="00655727" w:rsidP="00CC4076">
      <w:pPr>
        <w:pStyle w:val="ListParagraph"/>
        <w:numPr>
          <w:ilvl w:val="0"/>
          <w:numId w:val="1"/>
        </w:numPr>
      </w:pPr>
      <w:r>
        <w:t xml:space="preserve">Ankle-Brachial Index (ABI) </w:t>
      </w:r>
      <w:r w:rsidR="00CC4076">
        <w:t>often performed to evaluate for underlying bone involvement</w:t>
      </w:r>
      <w:r w:rsidR="00012E06">
        <w:t xml:space="preserve"> and PAD</w:t>
      </w:r>
    </w:p>
    <w:p w14:paraId="61963141" w14:textId="17C6226D" w:rsidR="00CC4076" w:rsidRDefault="00012E06" w:rsidP="00CC4076">
      <w:pPr>
        <w:pStyle w:val="ListParagraph"/>
        <w:numPr>
          <w:ilvl w:val="0"/>
          <w:numId w:val="1"/>
        </w:numPr>
      </w:pPr>
      <w:r>
        <w:t>When infection is present culture from deep tissue is helpful, the role of superficial wound culture is limited</w:t>
      </w:r>
    </w:p>
    <w:p w14:paraId="523205CA" w14:textId="0AD8A4CE" w:rsidR="009C4AEA" w:rsidRDefault="009C4AEA" w:rsidP="00CD03C0">
      <w:pPr>
        <w:pStyle w:val="NoSpacing"/>
      </w:pPr>
      <w:r>
        <w:t>Osteomyelitis</w:t>
      </w:r>
    </w:p>
    <w:p w14:paraId="34373BAB" w14:textId="3111B6FD" w:rsidR="009C4AEA" w:rsidRDefault="00504BD4" w:rsidP="00504BD4">
      <w:pPr>
        <w:pStyle w:val="ListParagraph"/>
        <w:numPr>
          <w:ilvl w:val="0"/>
          <w:numId w:val="1"/>
        </w:numPr>
      </w:pPr>
      <w:r>
        <w:t xml:space="preserve">Factors associated with </w:t>
      </w:r>
      <w:r w:rsidR="00655727">
        <w:t>osteomyelitis:</w:t>
      </w:r>
    </w:p>
    <w:p w14:paraId="0FA5DF81" w14:textId="51A92966" w:rsidR="00655727" w:rsidRDefault="00655727" w:rsidP="00655727">
      <w:pPr>
        <w:pStyle w:val="ListParagraph"/>
        <w:numPr>
          <w:ilvl w:val="1"/>
          <w:numId w:val="1"/>
        </w:numPr>
      </w:pPr>
      <w:r>
        <w:t>Bone visible</w:t>
      </w:r>
    </w:p>
    <w:p w14:paraId="61A60E56" w14:textId="34F06A8D" w:rsidR="00655727" w:rsidRDefault="00655727" w:rsidP="00655727">
      <w:pPr>
        <w:pStyle w:val="ListParagraph"/>
        <w:numPr>
          <w:ilvl w:val="1"/>
          <w:numId w:val="1"/>
        </w:numPr>
      </w:pPr>
      <w:r>
        <w:t>Probe to bone</w:t>
      </w:r>
    </w:p>
    <w:p w14:paraId="06347EA4" w14:textId="447F56ED" w:rsidR="00655727" w:rsidRDefault="00655727" w:rsidP="00655727">
      <w:pPr>
        <w:pStyle w:val="ListParagraph"/>
        <w:numPr>
          <w:ilvl w:val="1"/>
          <w:numId w:val="1"/>
        </w:numPr>
      </w:pPr>
      <w:r>
        <w:t xml:space="preserve">Ulcer &gt;2cm </w:t>
      </w:r>
    </w:p>
    <w:p w14:paraId="6436A261" w14:textId="7D9D68EB" w:rsidR="00655727" w:rsidRDefault="00655727" w:rsidP="00655727">
      <w:pPr>
        <w:pStyle w:val="ListParagraph"/>
        <w:numPr>
          <w:ilvl w:val="1"/>
          <w:numId w:val="1"/>
        </w:numPr>
      </w:pPr>
      <w:r>
        <w:t>ESR &gt;70</w:t>
      </w:r>
    </w:p>
    <w:p w14:paraId="1ACEF383" w14:textId="0CF9CB3F" w:rsidR="00655727" w:rsidRDefault="00655727" w:rsidP="00655727">
      <w:pPr>
        <w:pStyle w:val="ListParagraph"/>
        <w:numPr>
          <w:ilvl w:val="1"/>
          <w:numId w:val="1"/>
        </w:numPr>
      </w:pPr>
      <w:r>
        <w:t>Ulcer duration &gt;1-2 weeks</w:t>
      </w:r>
    </w:p>
    <w:p w14:paraId="65F6DECA" w14:textId="602FCEF9" w:rsidR="00655727" w:rsidRDefault="00655727" w:rsidP="00655727">
      <w:pPr>
        <w:pStyle w:val="ListParagraph"/>
        <w:numPr>
          <w:ilvl w:val="0"/>
          <w:numId w:val="1"/>
        </w:numPr>
      </w:pPr>
      <w:r>
        <w:t>For grossly visible bone osteomyelitis is assumed to be present. For other factors the next diagnostic steps are:</w:t>
      </w:r>
    </w:p>
    <w:p w14:paraId="2524076B" w14:textId="47341EAA" w:rsidR="00655727" w:rsidRDefault="00655727" w:rsidP="00655727">
      <w:pPr>
        <w:pStyle w:val="ListParagraph"/>
        <w:numPr>
          <w:ilvl w:val="1"/>
          <w:numId w:val="1"/>
        </w:numPr>
      </w:pPr>
      <w:r>
        <w:t>X ray</w:t>
      </w:r>
    </w:p>
    <w:p w14:paraId="34070CCD" w14:textId="477718F2" w:rsidR="00655727" w:rsidRDefault="00655727" w:rsidP="00655727">
      <w:pPr>
        <w:pStyle w:val="ListParagraph"/>
        <w:numPr>
          <w:ilvl w:val="1"/>
          <w:numId w:val="1"/>
        </w:numPr>
      </w:pPr>
      <w:r>
        <w:t>MRI if X ray is normal or inconclusive</w:t>
      </w:r>
    </w:p>
    <w:p w14:paraId="33626943" w14:textId="77777777" w:rsidR="004F6721" w:rsidRDefault="004F6721" w:rsidP="009C4AEA"/>
    <w:p w14:paraId="5FC2DC92" w14:textId="31A8CA37" w:rsidR="009C4AEA" w:rsidRDefault="009C4AEA" w:rsidP="009C4AEA">
      <w:r>
        <w:lastRenderedPageBreak/>
        <w:t>Management</w:t>
      </w:r>
    </w:p>
    <w:p w14:paraId="6E7ADED2" w14:textId="4988186E" w:rsidR="00504BD4" w:rsidRDefault="00504BD4" w:rsidP="00504BD4">
      <w:pPr>
        <w:pStyle w:val="ListParagraph"/>
        <w:numPr>
          <w:ilvl w:val="0"/>
          <w:numId w:val="1"/>
        </w:numPr>
      </w:pPr>
      <w:r>
        <w:t>Wound care</w:t>
      </w:r>
      <w:r w:rsidR="00481CD6">
        <w:t xml:space="preserve"> – Perhaps the most important component of treatment in getting ulcers to heal</w:t>
      </w:r>
    </w:p>
    <w:p w14:paraId="79ADF2C6" w14:textId="096566A6" w:rsidR="00481CD6" w:rsidRDefault="00481CD6" w:rsidP="00481CD6">
      <w:pPr>
        <w:pStyle w:val="ListParagraph"/>
        <w:numPr>
          <w:ilvl w:val="1"/>
          <w:numId w:val="1"/>
        </w:numPr>
      </w:pPr>
      <w:r>
        <w:t>Local debridement of necrotic tissue – usually with sharp debridement but can use enzymatic, autolytic, and biological debridement. Larval therapy has been shown to increase duration of antibiotic free days as part of ‘wound hospice’</w:t>
      </w:r>
      <w:r>
        <w:rPr>
          <w:vertAlign w:val="superscript"/>
        </w:rPr>
        <w:t>3,4</w:t>
      </w:r>
    </w:p>
    <w:p w14:paraId="11FBC041" w14:textId="17823AF9" w:rsidR="00481CD6" w:rsidRDefault="00481CD6" w:rsidP="00481CD6">
      <w:pPr>
        <w:pStyle w:val="ListParagraph"/>
        <w:numPr>
          <w:ilvl w:val="1"/>
          <w:numId w:val="1"/>
        </w:numPr>
      </w:pPr>
      <w:r>
        <w:t xml:space="preserve">Dressings to keep clean and moist (but not soaked) – no high-quality evidence for any specific dressing </w:t>
      </w:r>
    </w:p>
    <w:p w14:paraId="63AC3E10" w14:textId="55A7A847" w:rsidR="00481CD6" w:rsidRDefault="00481CD6" w:rsidP="00481CD6">
      <w:pPr>
        <w:pStyle w:val="ListParagraph"/>
        <w:numPr>
          <w:ilvl w:val="1"/>
          <w:numId w:val="1"/>
        </w:numPr>
      </w:pPr>
      <w:r>
        <w:t>Negative pressure wound therapy (Wound vac) may be a beneficial adjunct. Meta-analysis showed increased chance of wound healing (RR 1.4) and reduced risk of amputation (RR 0.33)</w:t>
      </w:r>
      <w:r>
        <w:rPr>
          <w:vertAlign w:val="superscript"/>
        </w:rPr>
        <w:t>5</w:t>
      </w:r>
    </w:p>
    <w:p w14:paraId="5CCA80FA" w14:textId="1AD82B97" w:rsidR="009C4AEA" w:rsidRDefault="00504BD4" w:rsidP="00504BD4">
      <w:pPr>
        <w:pStyle w:val="ListParagraph"/>
        <w:numPr>
          <w:ilvl w:val="0"/>
          <w:numId w:val="1"/>
        </w:numPr>
      </w:pPr>
      <w:r>
        <w:t>Antibiotics</w:t>
      </w:r>
      <w:r w:rsidR="00BA7940">
        <w:t xml:space="preserve"> – Limited data to support any specific empiric regimen</w:t>
      </w:r>
    </w:p>
    <w:p w14:paraId="20DA4896" w14:textId="787050D2" w:rsidR="0012343E" w:rsidRDefault="0012343E" w:rsidP="0012343E">
      <w:pPr>
        <w:pStyle w:val="ListParagraph"/>
        <w:numPr>
          <w:ilvl w:val="1"/>
          <w:numId w:val="1"/>
        </w:numPr>
      </w:pPr>
      <w:r>
        <w:t>For mild disease oral antibiotics for gram positives are usually enough (</w:t>
      </w:r>
      <w:proofErr w:type="spellStart"/>
      <w:r>
        <w:t>eg</w:t>
      </w:r>
      <w:proofErr w:type="spellEnd"/>
      <w:r>
        <w:t xml:space="preserve"> cefadroxil, cefalexin)</w:t>
      </w:r>
    </w:p>
    <w:p w14:paraId="65630C6C" w14:textId="43E3CDDA" w:rsidR="0012343E" w:rsidRDefault="0012343E" w:rsidP="0012343E">
      <w:pPr>
        <w:pStyle w:val="ListParagraph"/>
        <w:numPr>
          <w:ilvl w:val="1"/>
          <w:numId w:val="1"/>
        </w:numPr>
      </w:pPr>
      <w:r>
        <w:t>For moderate-severe disease usually use upfront IV antibiotics</w:t>
      </w:r>
      <w:r w:rsidR="00BA7940">
        <w:t xml:space="preserve"> and add coverage for gram negatives and anaerobes</w:t>
      </w:r>
      <w:r>
        <w:t xml:space="preserve"> (</w:t>
      </w:r>
      <w:proofErr w:type="spellStart"/>
      <w:r>
        <w:t>eg</w:t>
      </w:r>
      <w:proofErr w:type="spellEnd"/>
      <w:r>
        <w:t xml:space="preserve"> amp-sulbactam, Ceftriaxone +/- </w:t>
      </w:r>
      <w:proofErr w:type="spellStart"/>
      <w:r>
        <w:t>flagyl</w:t>
      </w:r>
      <w:proofErr w:type="spellEnd"/>
      <w:r>
        <w:t>, Ertapenem)</w:t>
      </w:r>
    </w:p>
    <w:p w14:paraId="07D98772" w14:textId="3A8A3BE8" w:rsidR="0012343E" w:rsidRDefault="0012343E" w:rsidP="0012343E">
      <w:pPr>
        <w:pStyle w:val="ListParagraph"/>
        <w:numPr>
          <w:ilvl w:val="1"/>
          <w:numId w:val="1"/>
        </w:numPr>
      </w:pPr>
      <w:r>
        <w:t xml:space="preserve">If history of MRSA, add MRSA coverage </w:t>
      </w:r>
      <w:r w:rsidR="00BA7940">
        <w:t xml:space="preserve">(doxy or TMP/SMX for PO, </w:t>
      </w:r>
      <w:proofErr w:type="spellStart"/>
      <w:r w:rsidR="00BA7940">
        <w:t>Vanco</w:t>
      </w:r>
      <w:proofErr w:type="spellEnd"/>
      <w:r w:rsidR="00BA7940">
        <w:t xml:space="preserve"> or </w:t>
      </w:r>
      <w:proofErr w:type="spellStart"/>
      <w:r w:rsidR="00BA7940">
        <w:t>Dapto</w:t>
      </w:r>
      <w:proofErr w:type="spellEnd"/>
      <w:r w:rsidR="00BA7940">
        <w:t xml:space="preserve"> for IV)</w:t>
      </w:r>
    </w:p>
    <w:p w14:paraId="02D2A2FE" w14:textId="51A42D6F" w:rsidR="0012343E" w:rsidRDefault="0012343E" w:rsidP="0012343E">
      <w:pPr>
        <w:pStyle w:val="ListParagraph"/>
        <w:numPr>
          <w:ilvl w:val="1"/>
          <w:numId w:val="1"/>
        </w:numPr>
      </w:pPr>
      <w:r>
        <w:t>If significant risk factors for pseudomonas can add pseudomonas coverage</w:t>
      </w:r>
      <w:r w:rsidR="00BA7940">
        <w:t xml:space="preserve"> but generally not needed</w:t>
      </w:r>
    </w:p>
    <w:p w14:paraId="37E6008B" w14:textId="1FFD3651" w:rsidR="0012343E" w:rsidRDefault="00BA7940" w:rsidP="0012343E">
      <w:pPr>
        <w:pStyle w:val="ListParagraph"/>
        <w:numPr>
          <w:ilvl w:val="1"/>
          <w:numId w:val="1"/>
        </w:numPr>
      </w:pPr>
      <w:r>
        <w:t>Can narrow based on culture results</w:t>
      </w:r>
    </w:p>
    <w:p w14:paraId="501991F9" w14:textId="6724687E" w:rsidR="00BA7940" w:rsidRDefault="00BA7940" w:rsidP="00BA7940">
      <w:pPr>
        <w:pStyle w:val="ListParagraph"/>
        <w:numPr>
          <w:ilvl w:val="2"/>
          <w:numId w:val="1"/>
        </w:numPr>
      </w:pPr>
      <w:r>
        <w:t xml:space="preserve">Often don’t need to treat every </w:t>
      </w:r>
      <w:proofErr w:type="gramStart"/>
      <w:r>
        <w:t>bacteria</w:t>
      </w:r>
      <w:proofErr w:type="gramEnd"/>
      <w:r>
        <w:t xml:space="preserve"> recovered (</w:t>
      </w:r>
      <w:proofErr w:type="spellStart"/>
      <w:r>
        <w:t>ie</w:t>
      </w:r>
      <w:proofErr w:type="spellEnd"/>
      <w:r>
        <w:t xml:space="preserve"> Enterococcus, </w:t>
      </w:r>
      <w:proofErr w:type="spellStart"/>
      <w:r>
        <w:t>CoNS</w:t>
      </w:r>
      <w:proofErr w:type="spellEnd"/>
      <w:r>
        <w:t>)</w:t>
      </w:r>
    </w:p>
    <w:p w14:paraId="7AC998E4" w14:textId="060D4617" w:rsidR="00BA7940" w:rsidRDefault="00BA7940" w:rsidP="00BA7940">
      <w:pPr>
        <w:pStyle w:val="ListParagraph"/>
        <w:numPr>
          <w:ilvl w:val="1"/>
          <w:numId w:val="1"/>
        </w:numPr>
      </w:pPr>
      <w:r>
        <w:t xml:space="preserve">Duration </w:t>
      </w:r>
    </w:p>
    <w:p w14:paraId="4646910F" w14:textId="3D7F56AC" w:rsidR="00BA7940" w:rsidRDefault="00BA7940" w:rsidP="00BA7940">
      <w:pPr>
        <w:pStyle w:val="ListParagraph"/>
        <w:numPr>
          <w:ilvl w:val="2"/>
          <w:numId w:val="1"/>
        </w:numPr>
      </w:pPr>
      <w:r>
        <w:t>If no osteomyelitis, treat until no longer clinically infected (1-2 weeks)</w:t>
      </w:r>
    </w:p>
    <w:p w14:paraId="7F9F7CED" w14:textId="666E31C4" w:rsidR="00BA7940" w:rsidRDefault="00BA7940" w:rsidP="00BA7940">
      <w:pPr>
        <w:pStyle w:val="ListParagraph"/>
        <w:numPr>
          <w:ilvl w:val="2"/>
          <w:numId w:val="1"/>
        </w:numPr>
      </w:pPr>
      <w:r>
        <w:t xml:space="preserve">For osteomyelitis, it’s its own separate primer re Abx selection, IV v PO, but duration </w:t>
      </w:r>
      <w:r w:rsidR="00AD1483">
        <w:t xml:space="preserve">and role of rifampin </w:t>
      </w:r>
      <w:r>
        <w:t>remains unclear</w:t>
      </w:r>
      <w:r w:rsidR="00AD1483">
        <w:t xml:space="preserve">. Most would do at least 6 </w:t>
      </w:r>
      <w:proofErr w:type="gramStart"/>
      <w:r w:rsidR="00AD1483">
        <w:t>weeks</w:t>
      </w:r>
      <w:proofErr w:type="gramEnd"/>
      <w:r w:rsidR="00AD1483">
        <w:t xml:space="preserve"> but pilot study showed non-inferiority of 3 weeks</w:t>
      </w:r>
      <w:r w:rsidR="00AD1483">
        <w:rPr>
          <w:vertAlign w:val="superscript"/>
        </w:rPr>
        <w:t>6</w:t>
      </w:r>
    </w:p>
    <w:p w14:paraId="312B1729" w14:textId="3B367E74" w:rsidR="00504BD4" w:rsidRDefault="00504BD4" w:rsidP="00504BD4">
      <w:pPr>
        <w:pStyle w:val="ListParagraph"/>
        <w:numPr>
          <w:ilvl w:val="0"/>
          <w:numId w:val="1"/>
        </w:numPr>
      </w:pPr>
      <w:r>
        <w:t>Surgery</w:t>
      </w:r>
    </w:p>
    <w:p w14:paraId="349DFF49" w14:textId="32147E59" w:rsidR="00AD1483" w:rsidRDefault="00AD1483" w:rsidP="00AD1483">
      <w:pPr>
        <w:pStyle w:val="ListParagraph"/>
        <w:numPr>
          <w:ilvl w:val="1"/>
          <w:numId w:val="1"/>
        </w:numPr>
      </w:pPr>
      <w:r>
        <w:t>Sharp debridement of necrotic soft tissue needed for severe and most moderate infections</w:t>
      </w:r>
    </w:p>
    <w:p w14:paraId="573FD893" w14:textId="68C06C3C" w:rsidR="00AD1483" w:rsidRDefault="00AD1483" w:rsidP="00AD1483">
      <w:pPr>
        <w:pStyle w:val="ListParagraph"/>
        <w:numPr>
          <w:ilvl w:val="2"/>
          <w:numId w:val="1"/>
        </w:numPr>
      </w:pPr>
      <w:r>
        <w:t>Particularly important if abscess, joint involvement, necrosis, or crepitus</w:t>
      </w:r>
    </w:p>
    <w:p w14:paraId="38F7FE95" w14:textId="55C4E31A" w:rsidR="00AD1483" w:rsidRDefault="00AD1483" w:rsidP="00AD1483">
      <w:pPr>
        <w:pStyle w:val="ListParagraph"/>
        <w:numPr>
          <w:ilvl w:val="1"/>
          <w:numId w:val="1"/>
        </w:numPr>
      </w:pPr>
      <w:r>
        <w:t>For bone involvement, debate over when bone resection and amputation are needed</w:t>
      </w:r>
      <w:r w:rsidR="004F6721">
        <w:t xml:space="preserve"> (likely needed for necrotic bone, but may not be necessary for infected but viable bone)</w:t>
      </w:r>
    </w:p>
    <w:p w14:paraId="4BF68834" w14:textId="37DAAD3A" w:rsidR="00504BD4" w:rsidRDefault="00AD1483" w:rsidP="009C4AEA">
      <w:pPr>
        <w:pStyle w:val="ListParagraph"/>
        <w:numPr>
          <w:ilvl w:val="2"/>
          <w:numId w:val="1"/>
        </w:numPr>
      </w:pPr>
      <w:r>
        <w:t>Appropriately, decision is often guided by patient preference</w:t>
      </w:r>
    </w:p>
    <w:p w14:paraId="12C38735" w14:textId="5B34512D" w:rsidR="009C4AEA" w:rsidRDefault="004F6721" w:rsidP="009C4AEA">
      <w:r>
        <w:rPr>
          <w:noProof/>
        </w:rPr>
        <w:drawing>
          <wp:anchor distT="0" distB="0" distL="114300" distR="114300" simplePos="0" relativeHeight="251659264" behindDoc="1" locked="0" layoutInCell="1" allowOverlap="1" wp14:anchorId="6AF15D86" wp14:editId="44F784A6">
            <wp:simplePos x="0" y="0"/>
            <wp:positionH relativeFrom="margin">
              <wp:posOffset>3581400</wp:posOffset>
            </wp:positionH>
            <wp:positionV relativeFrom="paragraph">
              <wp:posOffset>111760</wp:posOffset>
            </wp:positionV>
            <wp:extent cx="3447415" cy="1231900"/>
            <wp:effectExtent l="0" t="0" r="635" b="6350"/>
            <wp:wrapTight wrapText="bothSides">
              <wp:wrapPolygon edited="0">
                <wp:start x="0" y="0"/>
                <wp:lineTo x="0" y="21377"/>
                <wp:lineTo x="21485" y="21377"/>
                <wp:lineTo x="214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41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AEA">
        <w:t>Charcot’s Foot</w:t>
      </w:r>
    </w:p>
    <w:p w14:paraId="30459F10" w14:textId="6B6D1472" w:rsidR="002742F8" w:rsidRDefault="004F6721" w:rsidP="004F6721">
      <w:pPr>
        <w:pStyle w:val="ListParagraph"/>
        <w:numPr>
          <w:ilvl w:val="0"/>
          <w:numId w:val="1"/>
        </w:numPr>
      </w:pPr>
      <w:r>
        <w:t>Pathogenesis likely multifactorial with mechanical and vascular factors due to diabetic neuropathy and vasculopathy</w:t>
      </w:r>
      <w:r w:rsidRPr="004F6721">
        <w:rPr>
          <w:noProof/>
        </w:rPr>
        <w:t xml:space="preserve"> </w:t>
      </w:r>
    </w:p>
    <w:p w14:paraId="52B658D4" w14:textId="05E9FC7B" w:rsidR="004F6721" w:rsidRDefault="004F6721" w:rsidP="004F6721">
      <w:pPr>
        <w:pStyle w:val="ListParagraph"/>
        <w:numPr>
          <w:ilvl w:val="0"/>
          <w:numId w:val="1"/>
        </w:numPr>
      </w:pPr>
      <w:r>
        <w:rPr>
          <w:noProof/>
        </w:rPr>
        <w:t>Development of Charcot’s increases likelihood of amputation by a factor of 6</w:t>
      </w:r>
    </w:p>
    <w:p w14:paraId="201C7D98" w14:textId="78A0427E" w:rsidR="002742F8" w:rsidRDefault="002742F8" w:rsidP="009C4AEA">
      <w:r>
        <w:t>References:</w:t>
      </w:r>
    </w:p>
    <w:p w14:paraId="3723D5FB" w14:textId="612E0302" w:rsidR="002742F8" w:rsidRPr="004F6721" w:rsidRDefault="002742F8" w:rsidP="002742F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18"/>
          <w:szCs w:val="18"/>
        </w:rPr>
      </w:pPr>
      <w:r w:rsidRPr="004F6721">
        <w:rPr>
          <w:rFonts w:asciiTheme="majorHAnsi" w:hAnsiTheme="majorHAnsi" w:cstheme="majorHAnsi"/>
          <w:sz w:val="18"/>
          <w:szCs w:val="18"/>
        </w:rPr>
        <w:t>Armstrong DG, Boulton A, Bus SA. Diabetic Foot Ulcers and Their Recurrence</w:t>
      </w:r>
      <w:r w:rsidR="003D5098">
        <w:rPr>
          <w:rFonts w:asciiTheme="majorHAnsi" w:hAnsiTheme="majorHAnsi" w:cstheme="majorHAnsi"/>
          <w:sz w:val="18"/>
          <w:szCs w:val="18"/>
        </w:rPr>
        <w:t>. NEJM 2017; 376: 2367-2375</w:t>
      </w:r>
    </w:p>
    <w:p w14:paraId="4A75060E" w14:textId="26659132" w:rsidR="002742F8" w:rsidRPr="004F6721" w:rsidRDefault="002742F8" w:rsidP="002742F8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32323"/>
          <w:sz w:val="18"/>
          <w:szCs w:val="18"/>
        </w:rPr>
      </w:pPr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 xml:space="preserve">Lipsky BA, Armstrong DG, Citron DM, et al. Ertapenem versus piperacillin/tazobactam for diabetic foot infections (SIDESTEP): prospective, </w:t>
      </w:r>
      <w:proofErr w:type="spellStart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>randomised</w:t>
      </w:r>
      <w:proofErr w:type="spellEnd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 xml:space="preserve">, controlled, double-blinded, </w:t>
      </w:r>
      <w:proofErr w:type="spellStart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>multicentre</w:t>
      </w:r>
      <w:proofErr w:type="spellEnd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 xml:space="preserve"> trial. Lancet 2005; 366:1695.</w:t>
      </w:r>
    </w:p>
    <w:p w14:paraId="1B8A567E" w14:textId="77777777" w:rsidR="00481CD6" w:rsidRPr="004F6721" w:rsidRDefault="00481CD6" w:rsidP="00481CD6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32323"/>
          <w:sz w:val="18"/>
          <w:szCs w:val="18"/>
        </w:rPr>
      </w:pPr>
      <w:proofErr w:type="spellStart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>Opletalová</w:t>
      </w:r>
      <w:proofErr w:type="spellEnd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 xml:space="preserve"> K, </w:t>
      </w:r>
      <w:proofErr w:type="spellStart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>Blaizot</w:t>
      </w:r>
      <w:proofErr w:type="spellEnd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 xml:space="preserve"> X, </w:t>
      </w:r>
      <w:proofErr w:type="spellStart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>Mourgeon</w:t>
      </w:r>
      <w:proofErr w:type="spellEnd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 xml:space="preserve"> B, et al. Maggot therapy for wound debridement: a randomized multicenter trial. Arch Dermatol 2012; 148:432.</w:t>
      </w:r>
    </w:p>
    <w:p w14:paraId="7AC61DE5" w14:textId="77777777" w:rsidR="00481CD6" w:rsidRPr="004F6721" w:rsidRDefault="00481CD6" w:rsidP="00481CD6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32323"/>
          <w:sz w:val="18"/>
          <w:szCs w:val="18"/>
        </w:rPr>
      </w:pPr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 xml:space="preserve">Armstrong DG, Salas P, Short B, et al. Maggot therapy in "lower-extremity hospice" wound care: fewer amputations and more antibiotic-free days. J Am </w:t>
      </w:r>
      <w:proofErr w:type="spellStart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>Podiatr</w:t>
      </w:r>
      <w:proofErr w:type="spellEnd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 xml:space="preserve"> Med Assoc 2005; 95:254.</w:t>
      </w:r>
    </w:p>
    <w:p w14:paraId="2DD8C7BC" w14:textId="77777777" w:rsidR="00481CD6" w:rsidRPr="004F6721" w:rsidRDefault="00481CD6" w:rsidP="00481CD6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32323"/>
          <w:sz w:val="18"/>
          <w:szCs w:val="18"/>
        </w:rPr>
      </w:pPr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 xml:space="preserve">Liu Z, </w:t>
      </w:r>
      <w:proofErr w:type="spellStart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>Dumville</w:t>
      </w:r>
      <w:proofErr w:type="spellEnd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 xml:space="preserve"> JC, Hinchliffe RJ, et al. Negative pressure wound therapy for treating foot wounds in people with diabetes mellitus. Cochrane Database Syst Rev 2018; 10:CD010318.</w:t>
      </w:r>
    </w:p>
    <w:p w14:paraId="415D318B" w14:textId="77777777" w:rsidR="00AD1483" w:rsidRPr="004F6721" w:rsidRDefault="00AD1483" w:rsidP="00AD1483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32323"/>
          <w:sz w:val="18"/>
          <w:szCs w:val="18"/>
        </w:rPr>
      </w:pPr>
      <w:proofErr w:type="spellStart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>Gariani</w:t>
      </w:r>
      <w:proofErr w:type="spellEnd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 xml:space="preserve"> K, Pham TT, </w:t>
      </w:r>
      <w:proofErr w:type="spellStart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>Kressmann</w:t>
      </w:r>
      <w:proofErr w:type="spellEnd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 xml:space="preserve"> B, et al. Three versus six weeks of antibiotic therapy for diabetic foot osteomyelitis: A prospective, randomized, non-inferiority pilot trial. Clin Infect Dis 2020.</w:t>
      </w:r>
    </w:p>
    <w:p w14:paraId="4907B668" w14:textId="45BC5F72" w:rsidR="002742F8" w:rsidRPr="004F6721" w:rsidRDefault="004F6721" w:rsidP="00127F7C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>Wukich</w:t>
      </w:r>
      <w:proofErr w:type="spellEnd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 xml:space="preserve"> DK, </w:t>
      </w:r>
      <w:proofErr w:type="spellStart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>Sadoskas</w:t>
      </w:r>
      <w:proofErr w:type="spellEnd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 xml:space="preserve"> D, </w:t>
      </w:r>
      <w:proofErr w:type="spellStart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>Vaudreuil</w:t>
      </w:r>
      <w:proofErr w:type="spellEnd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 xml:space="preserve"> NJ, </w:t>
      </w:r>
      <w:proofErr w:type="spellStart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>Fourman</w:t>
      </w:r>
      <w:proofErr w:type="spellEnd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 xml:space="preserve"> M. Comparison of Diabetic Charcot Patients </w:t>
      </w:r>
      <w:proofErr w:type="gramStart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>With</w:t>
      </w:r>
      <w:proofErr w:type="gramEnd"/>
      <w:r w:rsidRPr="004F6721">
        <w:rPr>
          <w:rFonts w:asciiTheme="majorHAnsi" w:eastAsia="Times New Roman" w:hAnsiTheme="majorHAnsi" w:cstheme="majorHAnsi"/>
          <w:color w:val="232323"/>
          <w:sz w:val="18"/>
          <w:szCs w:val="18"/>
        </w:rPr>
        <w:t xml:space="preserve"> and Without Foot Wounds. Foot Ankle Int 2017; 38:140.</w:t>
      </w:r>
    </w:p>
    <w:sectPr w:rsidR="002742F8" w:rsidRPr="004F6721" w:rsidSect="002742F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A29DB" w14:textId="77777777" w:rsidR="00AD1483" w:rsidRDefault="00AD1483" w:rsidP="00AD1483">
      <w:pPr>
        <w:spacing w:after="0" w:line="240" w:lineRule="auto"/>
      </w:pPr>
      <w:r>
        <w:separator/>
      </w:r>
    </w:p>
  </w:endnote>
  <w:endnote w:type="continuationSeparator" w:id="0">
    <w:p w14:paraId="50C7937E" w14:textId="77777777" w:rsidR="00AD1483" w:rsidRDefault="00AD1483" w:rsidP="00AD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3A63E" w14:textId="77777777" w:rsidR="00AD1483" w:rsidRDefault="00AD1483" w:rsidP="00AD1483">
      <w:pPr>
        <w:spacing w:after="0" w:line="240" w:lineRule="auto"/>
      </w:pPr>
      <w:r>
        <w:separator/>
      </w:r>
    </w:p>
  </w:footnote>
  <w:footnote w:type="continuationSeparator" w:id="0">
    <w:p w14:paraId="7AF7685F" w14:textId="77777777" w:rsidR="00AD1483" w:rsidRDefault="00AD1483" w:rsidP="00AD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7377" w14:textId="3F34D669" w:rsidR="00AD1483" w:rsidRDefault="00AD1483" w:rsidP="00AD1483">
    <w:pPr>
      <w:pStyle w:val="Header"/>
      <w:jc w:val="right"/>
    </w:pPr>
    <w:r>
      <w:t>Created by Ikuta, 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A73"/>
    <w:multiLevelType w:val="hybridMultilevel"/>
    <w:tmpl w:val="BB88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4C4"/>
    <w:multiLevelType w:val="hybridMultilevel"/>
    <w:tmpl w:val="1500021C"/>
    <w:lvl w:ilvl="0" w:tplc="E550C30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95314"/>
    <w:multiLevelType w:val="multilevel"/>
    <w:tmpl w:val="EDA8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00EBE"/>
    <w:multiLevelType w:val="hybridMultilevel"/>
    <w:tmpl w:val="E7589D58"/>
    <w:lvl w:ilvl="0" w:tplc="1090C9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F2"/>
    <w:rsid w:val="00012E06"/>
    <w:rsid w:val="0012343E"/>
    <w:rsid w:val="002742F8"/>
    <w:rsid w:val="00372CFC"/>
    <w:rsid w:val="003D5098"/>
    <w:rsid w:val="00410B50"/>
    <w:rsid w:val="00481CD6"/>
    <w:rsid w:val="004F6721"/>
    <w:rsid w:val="00504BD4"/>
    <w:rsid w:val="005F4546"/>
    <w:rsid w:val="00655727"/>
    <w:rsid w:val="009B39BA"/>
    <w:rsid w:val="009C4AEA"/>
    <w:rsid w:val="00AD1483"/>
    <w:rsid w:val="00BA7940"/>
    <w:rsid w:val="00BB3E35"/>
    <w:rsid w:val="00CA1592"/>
    <w:rsid w:val="00CC4076"/>
    <w:rsid w:val="00CD03C0"/>
    <w:rsid w:val="00F8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FDD4"/>
  <w15:chartTrackingRefBased/>
  <w15:docId w15:val="{5886BD19-3CB6-4BCE-8460-E4AB5C77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E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3E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42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83"/>
  </w:style>
  <w:style w:type="paragraph" w:styleId="Footer">
    <w:name w:val="footer"/>
    <w:basedOn w:val="Normal"/>
    <w:link w:val="FooterChar"/>
    <w:uiPriority w:val="99"/>
    <w:unhideWhenUsed/>
    <w:rsid w:val="00AD1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Ikuta</dc:creator>
  <cp:keywords/>
  <dc:description/>
  <cp:lastModifiedBy>Kevin Ikuta</cp:lastModifiedBy>
  <cp:revision>4</cp:revision>
  <dcterms:created xsi:type="dcterms:W3CDTF">2021-05-06T15:26:00Z</dcterms:created>
  <dcterms:modified xsi:type="dcterms:W3CDTF">2021-06-07T22:35:00Z</dcterms:modified>
</cp:coreProperties>
</file>