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0440"/>
      </w:tblGrid>
      <w:tr w:rsidR="00975F83" w14:paraId="0268E9C6" w14:textId="77777777">
        <w:tc>
          <w:tcPr>
            <w:tcW w:w="10656" w:type="dxa"/>
            <w:tcMar>
              <w:top w:w="0" w:type="dxa"/>
              <w:left w:w="108" w:type="dxa"/>
              <w:bottom w:w="0" w:type="dxa"/>
              <w:right w:w="108" w:type="dxa"/>
            </w:tcMar>
            <w:hideMark/>
          </w:tcPr>
          <w:p w14:paraId="1303588E" w14:textId="55A587D4" w:rsidR="00975F83" w:rsidRDefault="007018A3">
            <w:pPr>
              <w:spacing w:line="360" w:lineRule="auto"/>
              <w:jc w:val="center"/>
            </w:pPr>
            <w:bookmarkStart w:id="0" w:name="_top"/>
            <w:bookmarkStart w:id="1" w:name="top"/>
            <w:bookmarkEnd w:id="0"/>
            <w:bookmarkEnd w:id="1"/>
            <w:r>
              <w:rPr>
                <w:b/>
                <w:bCs/>
              </w:rPr>
              <w:t>Guidelines for Management of Community-Acquired Pneumonia (CAP), Hospital-Associated Pneumonia (HAP), and Ventilator-Associated Pneumonia</w:t>
            </w:r>
            <w:r w:rsidR="00C0305C">
              <w:rPr>
                <w:b/>
                <w:bCs/>
              </w:rPr>
              <w:t xml:space="preserve"> (VAP)</w:t>
            </w:r>
          </w:p>
        </w:tc>
      </w:tr>
      <w:tr w:rsidR="00975F83" w14:paraId="7482E9FE" w14:textId="77777777">
        <w:tc>
          <w:tcPr>
            <w:tcW w:w="10656" w:type="dxa"/>
            <w:tcMar>
              <w:top w:w="0" w:type="dxa"/>
              <w:left w:w="108" w:type="dxa"/>
              <w:bottom w:w="0" w:type="dxa"/>
              <w:right w:w="108" w:type="dxa"/>
            </w:tcMar>
            <w:hideMark/>
          </w:tcPr>
          <w:p w14:paraId="0DDD0E86" w14:textId="619451DA" w:rsidR="00975F83" w:rsidRDefault="007018A3">
            <w:pPr>
              <w:spacing w:line="360" w:lineRule="auto"/>
              <w:jc w:val="center"/>
            </w:pPr>
            <w:r>
              <w:rPr>
                <w:b/>
                <w:bCs/>
              </w:rPr>
              <w:t xml:space="preserve">(GLA </w:t>
            </w:r>
            <w:r w:rsidR="00877A37">
              <w:rPr>
                <w:b/>
                <w:bCs/>
              </w:rPr>
              <w:t>Novem</w:t>
            </w:r>
            <w:bookmarkStart w:id="2" w:name="_GoBack"/>
            <w:bookmarkEnd w:id="2"/>
            <w:r>
              <w:rPr>
                <w:b/>
                <w:bCs/>
              </w:rPr>
              <w:t>ber 2019)</w:t>
            </w:r>
          </w:p>
        </w:tc>
      </w:tr>
      <w:tr w:rsidR="00975F83" w14:paraId="09585561" w14:textId="77777777">
        <w:tc>
          <w:tcPr>
            <w:tcW w:w="10656" w:type="dxa"/>
            <w:tcMar>
              <w:top w:w="0" w:type="dxa"/>
              <w:left w:w="108" w:type="dxa"/>
              <w:bottom w:w="0" w:type="dxa"/>
              <w:right w:w="108" w:type="dxa"/>
            </w:tcMar>
            <w:hideMark/>
          </w:tcPr>
          <w:p w14:paraId="5D57B8C5" w14:textId="77777777" w:rsidR="00975F83" w:rsidRDefault="007018A3">
            <w:pPr>
              <w:spacing w:line="360" w:lineRule="auto"/>
            </w:pPr>
            <w:r>
              <w:t> </w:t>
            </w:r>
          </w:p>
        </w:tc>
      </w:tr>
      <w:tr w:rsidR="00975F83" w14:paraId="7BF4E633" w14:textId="77777777">
        <w:tc>
          <w:tcPr>
            <w:tcW w:w="10656" w:type="dxa"/>
            <w:shd w:val="clear" w:color="auto" w:fill="FFFF00"/>
            <w:tcMar>
              <w:top w:w="0" w:type="dxa"/>
              <w:left w:w="108" w:type="dxa"/>
              <w:bottom w:w="0" w:type="dxa"/>
              <w:right w:w="108" w:type="dxa"/>
            </w:tcMar>
            <w:hideMark/>
          </w:tcPr>
          <w:p w14:paraId="1CD02EBA" w14:textId="77777777" w:rsidR="00975F83" w:rsidRDefault="007018A3">
            <w:pPr>
              <w:spacing w:line="360" w:lineRule="auto"/>
            </w:pPr>
            <w:r>
              <w:rPr>
                <w:i/>
                <w:iCs/>
              </w:rPr>
              <w:t>Guidelines should not be viewed as rules of practice that require 100% compliance. Rather, they should be used to assist in clinical decision-making.  Furthermore, guidelines may not be applicable to all patients. If questions or problems arise, then an Infectious Diseases consultant should be contacted.</w:t>
            </w:r>
          </w:p>
          <w:p w14:paraId="799D49CB" w14:textId="77777777" w:rsidR="00975F83" w:rsidRDefault="007018A3">
            <w:pPr>
              <w:spacing w:line="360" w:lineRule="auto"/>
            </w:pPr>
            <w:r>
              <w:t> </w:t>
            </w:r>
          </w:p>
          <w:p w14:paraId="2224E1BD" w14:textId="77777777" w:rsidR="00975F83" w:rsidRDefault="007018A3">
            <w:pPr>
              <w:spacing w:line="360" w:lineRule="auto"/>
            </w:pPr>
            <w:r>
              <w:rPr>
                <w:i/>
                <w:iCs/>
              </w:rPr>
              <w:t>These guidelines represent modifications of the Infectious Diseases Society of America and American Thoracic Society guidelines for the treatment of pneumonia.  They are based on the antimicrobial susceptibility patterns and clinical epidemiology of patients seen at VA Greater Los Angeles Healthcare System and are not necessarily applicable to patients seen at other local or distant medical care facilities.</w:t>
            </w:r>
          </w:p>
        </w:tc>
      </w:tr>
      <w:tr w:rsidR="00975F83" w14:paraId="3BE92F56" w14:textId="77777777">
        <w:tc>
          <w:tcPr>
            <w:tcW w:w="10656" w:type="dxa"/>
            <w:tcMar>
              <w:top w:w="0" w:type="dxa"/>
              <w:left w:w="108" w:type="dxa"/>
              <w:bottom w:w="0" w:type="dxa"/>
              <w:right w:w="108" w:type="dxa"/>
            </w:tcMar>
            <w:hideMark/>
          </w:tcPr>
          <w:p w14:paraId="7D302ADC" w14:textId="18A8554F" w:rsidR="00975F83" w:rsidRDefault="007018A3">
            <w:pPr>
              <w:spacing w:line="360" w:lineRule="auto"/>
            </w:pPr>
            <w:r>
              <w:t> </w:t>
            </w:r>
          </w:p>
        </w:tc>
      </w:tr>
      <w:tr w:rsidR="00975F83" w14:paraId="4AC68284" w14:textId="77777777">
        <w:tc>
          <w:tcPr>
            <w:tcW w:w="10656" w:type="dxa"/>
            <w:tcMar>
              <w:top w:w="0" w:type="dxa"/>
              <w:left w:w="108" w:type="dxa"/>
              <w:bottom w:w="0" w:type="dxa"/>
              <w:right w:w="108" w:type="dxa"/>
            </w:tcMar>
            <w:hideMark/>
          </w:tcPr>
          <w:p w14:paraId="7BC9C1FE" w14:textId="73B3B50D" w:rsidR="00975F83" w:rsidRDefault="00877A37">
            <w:pPr>
              <w:spacing w:line="360" w:lineRule="auto"/>
              <w:rPr>
                <w:b/>
                <w:bCs/>
              </w:rPr>
            </w:pPr>
            <w:hyperlink w:anchor="_Chest_x-ray:_Diagnosis" w:history="1">
              <w:r w:rsidR="007018A3" w:rsidRPr="00C7388B">
                <w:rPr>
                  <w:rStyle w:val="Hyperlink"/>
                  <w:b/>
                  <w:bCs/>
                </w:rPr>
                <w:t>Diagnostic evaluation</w:t>
              </w:r>
            </w:hyperlink>
          </w:p>
          <w:p w14:paraId="06241F9E" w14:textId="680366A1" w:rsidR="00975F83" w:rsidRDefault="007018A3">
            <w:pPr>
              <w:spacing w:line="360" w:lineRule="auto"/>
            </w:pPr>
            <w:r>
              <w:t xml:space="preserve">     </w:t>
            </w:r>
            <w:hyperlink w:anchor="_Determination_of_Outpatient" w:history="1">
              <w:r w:rsidRPr="00C7388B">
                <w:rPr>
                  <w:rStyle w:val="Hyperlink"/>
                </w:rPr>
                <w:t>Determination of outpatient vs. inpatient management</w:t>
              </w:r>
            </w:hyperlink>
          </w:p>
          <w:p w14:paraId="32DDAB12" w14:textId="3EAE21FB" w:rsidR="00975F83" w:rsidRDefault="007018A3">
            <w:pPr>
              <w:spacing w:line="360" w:lineRule="auto"/>
            </w:pPr>
            <w:r>
              <w:t xml:space="preserve">     </w:t>
            </w:r>
            <w:hyperlink w:anchor="_Determination_of_Inpatient" w:history="1">
              <w:r w:rsidRPr="00C7388B">
                <w:rPr>
                  <w:rStyle w:val="Hyperlink"/>
                </w:rPr>
                <w:t>Determination of inpatient pneumonia severity</w:t>
              </w:r>
            </w:hyperlink>
          </w:p>
          <w:p w14:paraId="7CF88DA1" w14:textId="54A6A9D1" w:rsidR="00975F83" w:rsidRDefault="007018A3">
            <w:pPr>
              <w:spacing w:line="360" w:lineRule="auto"/>
            </w:pPr>
            <w:r>
              <w:t xml:space="preserve">     </w:t>
            </w:r>
            <w:hyperlink w:anchor="_Microbiological_Assessment" w:history="1">
              <w:r w:rsidRPr="00C7388B">
                <w:rPr>
                  <w:rStyle w:val="Hyperlink"/>
                </w:rPr>
                <w:t>Microbiological assessment</w:t>
              </w:r>
            </w:hyperlink>
          </w:p>
          <w:p w14:paraId="665E4D40" w14:textId="56BA5D37" w:rsidR="00975F83" w:rsidRDefault="007018A3">
            <w:pPr>
              <w:spacing w:line="360" w:lineRule="auto"/>
            </w:pPr>
            <w:r>
              <w:t xml:space="preserve">     </w:t>
            </w:r>
            <w:hyperlink w:anchor="otherdxconsid" w:history="1">
              <w:r w:rsidRPr="00C7388B">
                <w:rPr>
                  <w:rStyle w:val="Hyperlink"/>
                </w:rPr>
                <w:t>Other diagnostic considerations</w:t>
              </w:r>
            </w:hyperlink>
          </w:p>
        </w:tc>
      </w:tr>
      <w:tr w:rsidR="00975F83" w14:paraId="0FA566DB" w14:textId="77777777">
        <w:tc>
          <w:tcPr>
            <w:tcW w:w="10656" w:type="dxa"/>
            <w:tcMar>
              <w:top w:w="0" w:type="dxa"/>
              <w:left w:w="108" w:type="dxa"/>
              <w:bottom w:w="0" w:type="dxa"/>
              <w:right w:w="108" w:type="dxa"/>
            </w:tcMar>
            <w:hideMark/>
          </w:tcPr>
          <w:p w14:paraId="3C89DBDE" w14:textId="2715148C" w:rsidR="00975F83" w:rsidRDefault="00877A37">
            <w:pPr>
              <w:spacing w:line="360" w:lineRule="auto"/>
              <w:rPr>
                <w:b/>
                <w:bCs/>
              </w:rPr>
            </w:pPr>
            <w:hyperlink w:anchor="recempiric" w:history="1">
              <w:r w:rsidR="007018A3" w:rsidRPr="00C7388B">
                <w:rPr>
                  <w:rStyle w:val="Hyperlink"/>
                  <w:b/>
                  <w:bCs/>
                </w:rPr>
                <w:t>Recommendations for empiric antimicrobial therapy</w:t>
              </w:r>
            </w:hyperlink>
          </w:p>
          <w:p w14:paraId="0FC4AC4B" w14:textId="1BBF56F9" w:rsidR="00975F83" w:rsidRDefault="007018A3">
            <w:pPr>
              <w:spacing w:line="360" w:lineRule="auto"/>
              <w:rPr>
                <w:bCs/>
              </w:rPr>
            </w:pPr>
            <w:r>
              <w:rPr>
                <w:bCs/>
              </w:rPr>
              <w:t xml:space="preserve">     </w:t>
            </w:r>
            <w:hyperlink w:anchor="outptrx" w:history="1">
              <w:r w:rsidRPr="00C7388B">
                <w:rPr>
                  <w:rStyle w:val="Hyperlink"/>
                  <w:bCs/>
                </w:rPr>
                <w:t>Outpatient treatment of community-acquired pneumonia</w:t>
              </w:r>
            </w:hyperlink>
          </w:p>
          <w:p w14:paraId="07126828" w14:textId="7D21BF96" w:rsidR="00975F83" w:rsidRDefault="007018A3">
            <w:pPr>
              <w:spacing w:line="360" w:lineRule="auto"/>
              <w:rPr>
                <w:bCs/>
              </w:rPr>
            </w:pPr>
            <w:r>
              <w:rPr>
                <w:bCs/>
              </w:rPr>
              <w:t xml:space="preserve">    </w:t>
            </w:r>
            <w:r w:rsidRPr="00BA308E">
              <w:rPr>
                <w:bCs/>
              </w:rPr>
              <w:t xml:space="preserve"> </w:t>
            </w:r>
            <w:hyperlink w:anchor="inptcaprx" w:history="1">
              <w:r w:rsidRPr="00C7388B">
                <w:rPr>
                  <w:rStyle w:val="Hyperlink"/>
                  <w:bCs/>
                </w:rPr>
                <w:t>Inpatient treatment of community-acquired pneumonia AND ward-onset hospital-acquired pneumonia</w:t>
              </w:r>
            </w:hyperlink>
          </w:p>
          <w:p w14:paraId="68326EC4" w14:textId="301CB9D0" w:rsidR="00975F83" w:rsidRDefault="007018A3">
            <w:pPr>
              <w:spacing w:line="360" w:lineRule="auto"/>
              <w:rPr>
                <w:bCs/>
              </w:rPr>
            </w:pPr>
            <w:r>
              <w:rPr>
                <w:bCs/>
              </w:rPr>
              <w:t xml:space="preserve">     </w:t>
            </w:r>
            <w:hyperlink w:anchor="inpthapvaprx" w:history="1">
              <w:r w:rsidRPr="00C7388B">
                <w:rPr>
                  <w:rStyle w:val="Hyperlink"/>
                  <w:bCs/>
                </w:rPr>
                <w:t>Treatment of hospital-acquired pneumonia in ICU or ventilator-associated pneumonia (VAP)</w:t>
              </w:r>
            </w:hyperlink>
          </w:p>
          <w:p w14:paraId="71D043CB" w14:textId="0BC1676D" w:rsidR="00975F83" w:rsidRDefault="00877A37">
            <w:pPr>
              <w:spacing w:line="360" w:lineRule="auto"/>
              <w:rPr>
                <w:b/>
                <w:bCs/>
              </w:rPr>
            </w:pPr>
            <w:hyperlink w:anchor="deesc" w:history="1">
              <w:r w:rsidR="007018A3" w:rsidRPr="00C7388B">
                <w:rPr>
                  <w:rStyle w:val="Hyperlink"/>
                  <w:b/>
                  <w:bCs/>
                </w:rPr>
                <w:t>Recommendations for de-escalation of anti-MRSA and broad-spectrum Gram-negative coverage</w:t>
              </w:r>
            </w:hyperlink>
          </w:p>
          <w:p w14:paraId="5DC5C6D8" w14:textId="18D470B5" w:rsidR="00975F83" w:rsidRDefault="00877A37">
            <w:pPr>
              <w:spacing w:line="360" w:lineRule="auto"/>
              <w:rPr>
                <w:b/>
                <w:bCs/>
              </w:rPr>
            </w:pPr>
            <w:hyperlink w:anchor="fail" w:history="1">
              <w:r w:rsidR="007018A3" w:rsidRPr="00C7388B">
                <w:rPr>
                  <w:rStyle w:val="Hyperlink"/>
                  <w:b/>
                  <w:bCs/>
                </w:rPr>
                <w:t>Evaluation of patients with pneumonia who fail to respond to therapy</w:t>
              </w:r>
            </w:hyperlink>
          </w:p>
          <w:p w14:paraId="076A2F4E" w14:textId="77E6439D" w:rsidR="00975F83" w:rsidRDefault="00877A37">
            <w:pPr>
              <w:spacing w:line="360" w:lineRule="auto"/>
            </w:pPr>
            <w:hyperlink w:anchor="refs" w:history="1">
              <w:r w:rsidR="007018A3" w:rsidRPr="00C7388B">
                <w:rPr>
                  <w:rStyle w:val="Hyperlink"/>
                  <w:b/>
                  <w:bCs/>
                </w:rPr>
                <w:t>References</w:t>
              </w:r>
            </w:hyperlink>
          </w:p>
        </w:tc>
      </w:tr>
      <w:tr w:rsidR="00975F83" w14:paraId="3C104B7A" w14:textId="77777777">
        <w:tc>
          <w:tcPr>
            <w:tcW w:w="10656" w:type="dxa"/>
            <w:tcMar>
              <w:top w:w="0" w:type="dxa"/>
              <w:left w:w="108" w:type="dxa"/>
              <w:bottom w:w="0" w:type="dxa"/>
              <w:right w:w="108" w:type="dxa"/>
            </w:tcMar>
          </w:tcPr>
          <w:p w14:paraId="576796C8" w14:textId="77777777" w:rsidR="00975F83" w:rsidRDefault="00975F83">
            <w:pPr>
              <w:spacing w:line="360" w:lineRule="auto"/>
              <w:rPr>
                <w:b/>
                <w:bCs/>
              </w:rPr>
            </w:pPr>
          </w:p>
        </w:tc>
      </w:tr>
    </w:tbl>
    <w:p w14:paraId="582C5279" w14:textId="77777777" w:rsidR="00975F83" w:rsidRDefault="007018A3">
      <w:pPr>
        <w:spacing w:line="360" w:lineRule="auto"/>
      </w:pPr>
      <w:r>
        <w:t> </w:t>
      </w:r>
    </w:p>
    <w:p w14:paraId="3764CCEA" w14:textId="2461ADF1" w:rsidR="00975F83" w:rsidRDefault="007018A3">
      <w:pPr>
        <w:spacing w:line="360" w:lineRule="auto"/>
        <w:rPr>
          <w:b/>
          <w:bCs/>
        </w:rPr>
      </w:pPr>
      <w:r>
        <w:rPr>
          <w:b/>
          <w:bCs/>
        </w:rPr>
        <w:lastRenderedPageBreak/>
        <w:t>+++++++++++++++</w:t>
      </w:r>
    </w:p>
    <w:p w14:paraId="525ABEDB" w14:textId="77777777" w:rsidR="00E87268" w:rsidRDefault="00E87268">
      <w:pPr>
        <w:spacing w:line="360" w:lineRule="auto"/>
      </w:pPr>
    </w:p>
    <w:tbl>
      <w:tblPr>
        <w:tblW w:w="10912" w:type="dxa"/>
        <w:tblCellMar>
          <w:left w:w="0" w:type="dxa"/>
          <w:right w:w="0" w:type="dxa"/>
        </w:tblCellMar>
        <w:tblLook w:val="04A0" w:firstRow="1" w:lastRow="0" w:firstColumn="1" w:lastColumn="0" w:noHBand="0" w:noVBand="1"/>
      </w:tblPr>
      <w:tblGrid>
        <w:gridCol w:w="4516"/>
        <w:gridCol w:w="1165"/>
        <w:gridCol w:w="1040"/>
        <w:gridCol w:w="1092"/>
        <w:gridCol w:w="1074"/>
        <w:gridCol w:w="996"/>
        <w:gridCol w:w="1005"/>
        <w:gridCol w:w="56"/>
      </w:tblGrid>
      <w:tr w:rsidR="00975F83" w14:paraId="3550C1A9" w14:textId="77777777" w:rsidTr="00BA308E">
        <w:tc>
          <w:tcPr>
            <w:tcW w:w="10912" w:type="dxa"/>
            <w:gridSpan w:val="8"/>
            <w:shd w:val="clear" w:color="auto" w:fill="FFFF00"/>
            <w:tcMar>
              <w:top w:w="0" w:type="dxa"/>
              <w:left w:w="108" w:type="dxa"/>
              <w:bottom w:w="0" w:type="dxa"/>
              <w:right w:w="108" w:type="dxa"/>
            </w:tcMar>
            <w:hideMark/>
          </w:tcPr>
          <w:p w14:paraId="3116087F" w14:textId="77777777" w:rsidR="00975F83" w:rsidRDefault="007018A3">
            <w:pPr>
              <w:spacing w:line="360" w:lineRule="auto"/>
            </w:pPr>
            <w:r>
              <w:rPr>
                <w:b/>
                <w:bCs/>
              </w:rPr>
              <w:t> DIAGNOSTIC EVALUATION</w:t>
            </w:r>
          </w:p>
        </w:tc>
      </w:tr>
      <w:tr w:rsidR="00975F83" w14:paraId="1A5ECA4D" w14:textId="77777777" w:rsidTr="00BA308E">
        <w:tc>
          <w:tcPr>
            <w:tcW w:w="10912" w:type="dxa"/>
            <w:gridSpan w:val="8"/>
            <w:shd w:val="clear" w:color="auto" w:fill="FFFFFF" w:themeFill="background1"/>
            <w:tcMar>
              <w:top w:w="0" w:type="dxa"/>
              <w:left w:w="108" w:type="dxa"/>
              <w:bottom w:w="0" w:type="dxa"/>
              <w:right w:w="108" w:type="dxa"/>
            </w:tcMar>
            <w:hideMark/>
          </w:tcPr>
          <w:p w14:paraId="76223BD8" w14:textId="77777777" w:rsidR="00975F83" w:rsidRDefault="007018A3">
            <w:pPr>
              <w:pStyle w:val="Heading2"/>
              <w:spacing w:line="360" w:lineRule="auto"/>
              <w:ind w:left="0" w:firstLine="0"/>
              <w:rPr>
                <w:rFonts w:eastAsia="Times New Roman"/>
              </w:rPr>
            </w:pPr>
            <w:bookmarkStart w:id="3" w:name="_Chest_x-ray:_Diagnosis"/>
            <w:bookmarkEnd w:id="3"/>
            <w:r>
              <w:rPr>
                <w:rFonts w:eastAsia="Times New Roman"/>
                <w:b/>
                <w:bCs/>
              </w:rPr>
              <w:t>Chest x-ray</w:t>
            </w:r>
            <w:r>
              <w:rPr>
                <w:rFonts w:eastAsia="Times New Roman"/>
              </w:rPr>
              <w:t>: Diagnosis of pneumonia requires demonstration of an infiltrate on chest x-ray</w:t>
            </w:r>
          </w:p>
        </w:tc>
      </w:tr>
      <w:tr w:rsidR="00975F83" w14:paraId="75152794" w14:textId="77777777" w:rsidTr="00BA308E">
        <w:tc>
          <w:tcPr>
            <w:tcW w:w="10912" w:type="dxa"/>
            <w:gridSpan w:val="8"/>
            <w:tcMar>
              <w:top w:w="0" w:type="dxa"/>
              <w:left w:w="108" w:type="dxa"/>
              <w:bottom w:w="0" w:type="dxa"/>
              <w:right w:w="108" w:type="dxa"/>
            </w:tcMar>
            <w:hideMark/>
          </w:tcPr>
          <w:p w14:paraId="4183B720" w14:textId="3681D1E7" w:rsidR="00975F83" w:rsidRDefault="007018A3" w:rsidP="00E87268">
            <w:pPr>
              <w:pStyle w:val="Heading2"/>
              <w:numPr>
                <w:ilvl w:val="0"/>
                <w:numId w:val="11"/>
              </w:numPr>
              <w:spacing w:line="360" w:lineRule="auto"/>
              <w:rPr>
                <w:rFonts w:eastAsia="Times New Roman"/>
              </w:rPr>
            </w:pPr>
            <w:r>
              <w:rPr>
                <w:rFonts w:eastAsia="Times New Roman"/>
              </w:rPr>
              <w:t>Pneumonia is present in only 10% of patients presenting to urgent care and emergency rooms with cough and respiratory symptoms</w:t>
            </w:r>
            <w:r w:rsidR="00905DBE">
              <w:rPr>
                <w:rFonts w:eastAsia="Times New Roman"/>
              </w:rPr>
              <w:t>.</w:t>
            </w:r>
          </w:p>
        </w:tc>
      </w:tr>
      <w:tr w:rsidR="00975F83" w14:paraId="544D30FF" w14:textId="77777777" w:rsidTr="00BA308E">
        <w:tc>
          <w:tcPr>
            <w:tcW w:w="10912" w:type="dxa"/>
            <w:gridSpan w:val="8"/>
            <w:tcMar>
              <w:top w:w="0" w:type="dxa"/>
              <w:left w:w="108" w:type="dxa"/>
              <w:bottom w:w="0" w:type="dxa"/>
              <w:right w:w="108" w:type="dxa"/>
            </w:tcMar>
            <w:hideMark/>
          </w:tcPr>
          <w:p w14:paraId="386FD9DE" w14:textId="77777777" w:rsidR="00975F83" w:rsidRDefault="007018A3" w:rsidP="00E87268">
            <w:pPr>
              <w:pStyle w:val="Heading2"/>
              <w:numPr>
                <w:ilvl w:val="0"/>
                <w:numId w:val="11"/>
              </w:numPr>
              <w:spacing w:line="360" w:lineRule="auto"/>
              <w:rPr>
                <w:rFonts w:eastAsia="Times New Roman"/>
              </w:rPr>
            </w:pPr>
            <w:r>
              <w:rPr>
                <w:rFonts w:eastAsia="Times New Roman"/>
              </w:rPr>
              <w:t xml:space="preserve">Scoring systems are most useful for determining when a chest x-ray should be performed; at best they predict a 50% probability of pneumonia. </w:t>
            </w:r>
          </w:p>
          <w:p w14:paraId="479C5A9E" w14:textId="11A66B52" w:rsidR="00E87268" w:rsidRDefault="00E87268" w:rsidP="00E87268">
            <w:pPr>
              <w:pStyle w:val="Heading2"/>
              <w:spacing w:line="360" w:lineRule="auto"/>
              <w:ind w:left="360" w:firstLine="0"/>
              <w:rPr>
                <w:rFonts w:eastAsia="Times New Roman"/>
              </w:rPr>
            </w:pPr>
          </w:p>
        </w:tc>
      </w:tr>
      <w:tr w:rsidR="00975F83" w14:paraId="2A6B09E9" w14:textId="77777777" w:rsidTr="00BA308E">
        <w:trPr>
          <w:trHeight w:val="255"/>
        </w:trPr>
        <w:tc>
          <w:tcPr>
            <w:tcW w:w="4500" w:type="dxa"/>
            <w:noWrap/>
            <w:tcMar>
              <w:top w:w="0" w:type="dxa"/>
              <w:left w:w="108" w:type="dxa"/>
              <w:bottom w:w="0" w:type="dxa"/>
              <w:right w:w="108" w:type="dxa"/>
            </w:tcMar>
            <w:hideMark/>
          </w:tcPr>
          <w:p w14:paraId="305D790F" w14:textId="77777777" w:rsidR="00975F83" w:rsidRDefault="007018A3">
            <w:pPr>
              <w:spacing w:line="360" w:lineRule="auto"/>
            </w:pPr>
            <w:r>
              <w:t> </w:t>
            </w:r>
          </w:p>
        </w:tc>
        <w:tc>
          <w:tcPr>
            <w:tcW w:w="6356" w:type="dxa"/>
            <w:gridSpan w:val="6"/>
            <w:shd w:val="clear" w:color="auto" w:fill="FFFF99"/>
            <w:noWrap/>
            <w:tcMar>
              <w:top w:w="0" w:type="dxa"/>
              <w:left w:w="108" w:type="dxa"/>
              <w:bottom w:w="0" w:type="dxa"/>
              <w:right w:w="108" w:type="dxa"/>
            </w:tcMar>
            <w:hideMark/>
          </w:tcPr>
          <w:p w14:paraId="0CFA06CD" w14:textId="77777777" w:rsidR="00975F83" w:rsidRDefault="007018A3">
            <w:pPr>
              <w:spacing w:line="360" w:lineRule="auto"/>
              <w:jc w:val="center"/>
            </w:pPr>
            <w:r>
              <w:rPr>
                <w:b/>
                <w:bCs/>
                <w:shd w:val="clear" w:color="auto" w:fill="FFFF99"/>
              </w:rPr>
              <w:t>S</w:t>
            </w:r>
            <w:r>
              <w:rPr>
                <w:b/>
                <w:bCs/>
              </w:rPr>
              <w:t>core</w:t>
            </w:r>
          </w:p>
        </w:tc>
        <w:tc>
          <w:tcPr>
            <w:tcW w:w="56" w:type="dxa"/>
            <w:vAlign w:val="center"/>
            <w:hideMark/>
          </w:tcPr>
          <w:p w14:paraId="6EE38B7C" w14:textId="77777777" w:rsidR="00975F83" w:rsidRDefault="007018A3">
            <w:r>
              <w:t> </w:t>
            </w:r>
          </w:p>
        </w:tc>
      </w:tr>
      <w:tr w:rsidR="00975F83" w14:paraId="0E5A3453" w14:textId="77777777" w:rsidTr="00BA308E">
        <w:trPr>
          <w:trHeight w:val="255"/>
        </w:trPr>
        <w:tc>
          <w:tcPr>
            <w:tcW w:w="4500" w:type="dxa"/>
            <w:noWrap/>
            <w:hideMark/>
          </w:tcPr>
          <w:p w14:paraId="6767FED7" w14:textId="77777777" w:rsidR="00975F83" w:rsidRDefault="007018A3">
            <w:pPr>
              <w:spacing w:line="360" w:lineRule="auto"/>
            </w:pPr>
            <w:r>
              <w:t> </w:t>
            </w:r>
          </w:p>
        </w:tc>
        <w:tc>
          <w:tcPr>
            <w:tcW w:w="1149" w:type="dxa"/>
            <w:noWrap/>
            <w:hideMark/>
          </w:tcPr>
          <w:p w14:paraId="1BA87E16" w14:textId="77777777" w:rsidR="00975F83" w:rsidRDefault="007018A3">
            <w:pPr>
              <w:spacing w:line="360" w:lineRule="auto"/>
              <w:jc w:val="center"/>
            </w:pPr>
            <w:r>
              <w:rPr>
                <w:b/>
                <w:bCs/>
              </w:rPr>
              <w:t>0</w:t>
            </w:r>
          </w:p>
        </w:tc>
        <w:tc>
          <w:tcPr>
            <w:tcW w:w="1040" w:type="dxa"/>
            <w:noWrap/>
            <w:tcMar>
              <w:top w:w="0" w:type="dxa"/>
              <w:left w:w="108" w:type="dxa"/>
              <w:bottom w:w="0" w:type="dxa"/>
              <w:right w:w="108" w:type="dxa"/>
            </w:tcMar>
            <w:hideMark/>
          </w:tcPr>
          <w:p w14:paraId="29F9CEC3" w14:textId="77777777" w:rsidR="00975F83" w:rsidRDefault="007018A3">
            <w:pPr>
              <w:spacing w:line="360" w:lineRule="auto"/>
              <w:jc w:val="center"/>
            </w:pPr>
            <w:r>
              <w:rPr>
                <w:b/>
                <w:bCs/>
              </w:rPr>
              <w:t>1</w:t>
            </w:r>
          </w:p>
        </w:tc>
        <w:tc>
          <w:tcPr>
            <w:tcW w:w="1092" w:type="dxa"/>
            <w:noWrap/>
            <w:tcMar>
              <w:top w:w="0" w:type="dxa"/>
              <w:left w:w="108" w:type="dxa"/>
              <w:bottom w:w="0" w:type="dxa"/>
              <w:right w:w="108" w:type="dxa"/>
            </w:tcMar>
            <w:hideMark/>
          </w:tcPr>
          <w:p w14:paraId="6F7DCE3A" w14:textId="77777777" w:rsidR="00975F83" w:rsidRDefault="007018A3">
            <w:pPr>
              <w:spacing w:line="360" w:lineRule="auto"/>
              <w:jc w:val="center"/>
            </w:pPr>
            <w:r>
              <w:rPr>
                <w:b/>
                <w:bCs/>
              </w:rPr>
              <w:t>2</w:t>
            </w:r>
          </w:p>
        </w:tc>
        <w:tc>
          <w:tcPr>
            <w:tcW w:w="1074" w:type="dxa"/>
            <w:noWrap/>
            <w:tcMar>
              <w:top w:w="0" w:type="dxa"/>
              <w:left w:w="108" w:type="dxa"/>
              <w:bottom w:w="0" w:type="dxa"/>
              <w:right w:w="108" w:type="dxa"/>
            </w:tcMar>
            <w:hideMark/>
          </w:tcPr>
          <w:p w14:paraId="485D7A89" w14:textId="77777777" w:rsidR="00975F83" w:rsidRDefault="007018A3">
            <w:pPr>
              <w:spacing w:line="360" w:lineRule="auto"/>
              <w:jc w:val="center"/>
            </w:pPr>
            <w:r>
              <w:rPr>
                <w:b/>
                <w:bCs/>
              </w:rPr>
              <w:t>3</w:t>
            </w:r>
          </w:p>
        </w:tc>
        <w:tc>
          <w:tcPr>
            <w:tcW w:w="996" w:type="dxa"/>
            <w:noWrap/>
            <w:tcMar>
              <w:top w:w="0" w:type="dxa"/>
              <w:left w:w="108" w:type="dxa"/>
              <w:bottom w:w="0" w:type="dxa"/>
              <w:right w:w="108" w:type="dxa"/>
            </w:tcMar>
            <w:hideMark/>
          </w:tcPr>
          <w:p w14:paraId="4532B029" w14:textId="77777777" w:rsidR="00975F83" w:rsidRDefault="007018A3">
            <w:pPr>
              <w:spacing w:line="360" w:lineRule="auto"/>
              <w:jc w:val="center"/>
            </w:pPr>
            <w:r>
              <w:rPr>
                <w:b/>
                <w:bCs/>
              </w:rPr>
              <w:t>4</w:t>
            </w:r>
          </w:p>
        </w:tc>
        <w:tc>
          <w:tcPr>
            <w:tcW w:w="1005" w:type="dxa"/>
            <w:noWrap/>
            <w:tcMar>
              <w:top w:w="0" w:type="dxa"/>
              <w:left w:w="108" w:type="dxa"/>
              <w:bottom w:w="0" w:type="dxa"/>
              <w:right w:w="108" w:type="dxa"/>
            </w:tcMar>
            <w:hideMark/>
          </w:tcPr>
          <w:p w14:paraId="449CFF4B" w14:textId="77777777" w:rsidR="00975F83" w:rsidRDefault="007018A3">
            <w:pPr>
              <w:spacing w:line="360" w:lineRule="auto"/>
              <w:jc w:val="center"/>
            </w:pPr>
            <w:r>
              <w:rPr>
                <w:b/>
                <w:bCs/>
              </w:rPr>
              <w:t>5</w:t>
            </w:r>
          </w:p>
        </w:tc>
        <w:tc>
          <w:tcPr>
            <w:tcW w:w="56" w:type="dxa"/>
            <w:vAlign w:val="center"/>
            <w:hideMark/>
          </w:tcPr>
          <w:p w14:paraId="55FAB763" w14:textId="77777777" w:rsidR="00975F83" w:rsidRDefault="007018A3">
            <w:r>
              <w:t> </w:t>
            </w:r>
          </w:p>
        </w:tc>
      </w:tr>
      <w:tr w:rsidR="00975F83" w14:paraId="56404BEA" w14:textId="77777777" w:rsidTr="00BA308E">
        <w:trPr>
          <w:trHeight w:val="255"/>
        </w:trPr>
        <w:tc>
          <w:tcPr>
            <w:tcW w:w="4500" w:type="dxa"/>
            <w:noWrap/>
            <w:hideMark/>
          </w:tcPr>
          <w:p w14:paraId="35960216" w14:textId="77777777" w:rsidR="00975F83" w:rsidRDefault="007018A3">
            <w:pPr>
              <w:pStyle w:val="Heading3"/>
              <w:spacing w:line="360" w:lineRule="auto"/>
              <w:jc w:val="right"/>
              <w:rPr>
                <w:rFonts w:eastAsia="Times New Roman"/>
              </w:rPr>
            </w:pPr>
            <w:r>
              <w:rPr>
                <w:rFonts w:eastAsia="Times New Roman"/>
              </w:rPr>
              <w:t>Probability of pneumonia</w:t>
            </w:r>
          </w:p>
        </w:tc>
        <w:tc>
          <w:tcPr>
            <w:tcW w:w="1149" w:type="dxa"/>
            <w:noWrap/>
            <w:hideMark/>
          </w:tcPr>
          <w:p w14:paraId="56DAC6BB" w14:textId="77777777" w:rsidR="00975F83" w:rsidRDefault="007018A3">
            <w:pPr>
              <w:spacing w:line="360" w:lineRule="auto"/>
              <w:jc w:val="center"/>
            </w:pPr>
            <w:r>
              <w:t>&lt;1%</w:t>
            </w:r>
          </w:p>
        </w:tc>
        <w:tc>
          <w:tcPr>
            <w:tcW w:w="1040" w:type="dxa"/>
            <w:noWrap/>
            <w:tcMar>
              <w:top w:w="0" w:type="dxa"/>
              <w:left w:w="108" w:type="dxa"/>
              <w:bottom w:w="0" w:type="dxa"/>
              <w:right w:w="108" w:type="dxa"/>
            </w:tcMar>
            <w:hideMark/>
          </w:tcPr>
          <w:p w14:paraId="2206CB61" w14:textId="77777777" w:rsidR="00975F83" w:rsidRDefault="007018A3">
            <w:pPr>
              <w:spacing w:line="360" w:lineRule="auto"/>
              <w:jc w:val="center"/>
            </w:pPr>
            <w:r>
              <w:t>1%</w:t>
            </w:r>
          </w:p>
        </w:tc>
        <w:tc>
          <w:tcPr>
            <w:tcW w:w="1092" w:type="dxa"/>
            <w:noWrap/>
            <w:tcMar>
              <w:top w:w="0" w:type="dxa"/>
              <w:left w:w="108" w:type="dxa"/>
              <w:bottom w:w="0" w:type="dxa"/>
              <w:right w:w="108" w:type="dxa"/>
            </w:tcMar>
            <w:hideMark/>
          </w:tcPr>
          <w:p w14:paraId="79B4FABD" w14:textId="77777777" w:rsidR="00975F83" w:rsidRDefault="007018A3">
            <w:pPr>
              <w:spacing w:line="360" w:lineRule="auto"/>
              <w:jc w:val="center"/>
            </w:pPr>
            <w:r>
              <w:t>3%</w:t>
            </w:r>
          </w:p>
        </w:tc>
        <w:tc>
          <w:tcPr>
            <w:tcW w:w="1074" w:type="dxa"/>
            <w:noWrap/>
            <w:tcMar>
              <w:top w:w="0" w:type="dxa"/>
              <w:left w:w="108" w:type="dxa"/>
              <w:bottom w:w="0" w:type="dxa"/>
              <w:right w:w="108" w:type="dxa"/>
            </w:tcMar>
            <w:hideMark/>
          </w:tcPr>
          <w:p w14:paraId="2F040ED6" w14:textId="77777777" w:rsidR="00975F83" w:rsidRDefault="007018A3">
            <w:pPr>
              <w:spacing w:line="360" w:lineRule="auto"/>
              <w:jc w:val="center"/>
            </w:pPr>
            <w:r>
              <w:t>10%</w:t>
            </w:r>
          </w:p>
        </w:tc>
        <w:tc>
          <w:tcPr>
            <w:tcW w:w="996" w:type="dxa"/>
            <w:noWrap/>
            <w:tcMar>
              <w:top w:w="0" w:type="dxa"/>
              <w:left w:w="108" w:type="dxa"/>
              <w:bottom w:w="0" w:type="dxa"/>
              <w:right w:w="108" w:type="dxa"/>
            </w:tcMar>
            <w:hideMark/>
          </w:tcPr>
          <w:p w14:paraId="49B9EA0E" w14:textId="77777777" w:rsidR="00975F83" w:rsidRDefault="007018A3">
            <w:pPr>
              <w:spacing w:line="360" w:lineRule="auto"/>
              <w:jc w:val="center"/>
            </w:pPr>
            <w:r>
              <w:t>25%</w:t>
            </w:r>
          </w:p>
        </w:tc>
        <w:tc>
          <w:tcPr>
            <w:tcW w:w="1005" w:type="dxa"/>
            <w:noWrap/>
            <w:tcMar>
              <w:top w:w="0" w:type="dxa"/>
              <w:left w:w="108" w:type="dxa"/>
              <w:bottom w:w="0" w:type="dxa"/>
              <w:right w:w="108" w:type="dxa"/>
            </w:tcMar>
            <w:hideMark/>
          </w:tcPr>
          <w:p w14:paraId="7C54EB68" w14:textId="77777777" w:rsidR="00975F83" w:rsidRDefault="007018A3">
            <w:pPr>
              <w:spacing w:line="360" w:lineRule="auto"/>
              <w:jc w:val="center"/>
            </w:pPr>
            <w:r>
              <w:t>50%</w:t>
            </w:r>
          </w:p>
        </w:tc>
        <w:tc>
          <w:tcPr>
            <w:tcW w:w="56" w:type="dxa"/>
            <w:vAlign w:val="center"/>
            <w:hideMark/>
          </w:tcPr>
          <w:p w14:paraId="60D7EA31" w14:textId="77777777" w:rsidR="00975F83" w:rsidRDefault="007018A3">
            <w:r>
              <w:t> </w:t>
            </w:r>
          </w:p>
        </w:tc>
      </w:tr>
      <w:tr w:rsidR="00975F83" w14:paraId="40D73137" w14:textId="77777777" w:rsidTr="00BA308E">
        <w:tc>
          <w:tcPr>
            <w:tcW w:w="10912" w:type="dxa"/>
            <w:gridSpan w:val="8"/>
            <w:tcMar>
              <w:top w:w="0" w:type="dxa"/>
              <w:left w:w="108" w:type="dxa"/>
              <w:bottom w:w="0" w:type="dxa"/>
              <w:right w:w="108" w:type="dxa"/>
            </w:tcMar>
            <w:hideMark/>
          </w:tcPr>
          <w:p w14:paraId="1D3575C4" w14:textId="77777777" w:rsidR="00E87268" w:rsidRDefault="00E87268">
            <w:pPr>
              <w:pStyle w:val="Heading3"/>
              <w:spacing w:line="360" w:lineRule="auto"/>
              <w:ind w:left="432" w:firstLine="0"/>
              <w:rPr>
                <w:rFonts w:eastAsia="Times New Roman"/>
              </w:rPr>
            </w:pPr>
          </w:p>
          <w:p w14:paraId="6ED1C570" w14:textId="56229B69" w:rsidR="00975F83" w:rsidRDefault="007018A3" w:rsidP="00E87268">
            <w:pPr>
              <w:pStyle w:val="Heading3"/>
              <w:numPr>
                <w:ilvl w:val="0"/>
                <w:numId w:val="12"/>
              </w:numPr>
              <w:spacing w:line="360" w:lineRule="auto"/>
              <w:rPr>
                <w:rFonts w:eastAsia="Times New Roman"/>
              </w:rPr>
            </w:pPr>
            <w:r>
              <w:rPr>
                <w:rFonts w:eastAsia="Times New Roman"/>
              </w:rPr>
              <w:t xml:space="preserve">One point each for </w:t>
            </w:r>
            <w:r>
              <w:rPr>
                <w:rFonts w:eastAsia="Times New Roman"/>
                <w:b/>
                <w:bCs/>
              </w:rPr>
              <w:t>absence</w:t>
            </w:r>
            <w:r>
              <w:rPr>
                <w:rFonts w:eastAsia="Times New Roman"/>
              </w:rPr>
              <w:t xml:space="preserve"> of asthma and for </w:t>
            </w:r>
            <w:r>
              <w:rPr>
                <w:rFonts w:eastAsia="Times New Roman"/>
                <w:b/>
                <w:bCs/>
              </w:rPr>
              <w:t>presence</w:t>
            </w:r>
            <w:r>
              <w:rPr>
                <w:rFonts w:eastAsia="Times New Roman"/>
              </w:rPr>
              <w:t xml:space="preserve"> of each of decreased breath sounds, T &gt; 37.8</w:t>
            </w:r>
            <w:r w:rsidR="004F5865">
              <w:rPr>
                <w:rFonts w:ascii="Times New Roman" w:eastAsia="Times New Roman" w:hAnsi="Times New Roman" w:cs="Times New Roman"/>
                <w:bCs/>
              </w:rPr>
              <w:t>°</w:t>
            </w:r>
            <w:r w:rsidR="004F5865">
              <w:rPr>
                <w:rFonts w:eastAsia="Times New Roman"/>
                <w:bCs/>
              </w:rPr>
              <w:t>C</w:t>
            </w:r>
            <w:r>
              <w:rPr>
                <w:rFonts w:eastAsia="Times New Roman"/>
              </w:rPr>
              <w:t>, crackles (rales) or heart rate &gt;</w:t>
            </w:r>
            <w:proofErr w:type="gramStart"/>
            <w:r>
              <w:rPr>
                <w:rFonts w:eastAsia="Times New Roman"/>
              </w:rPr>
              <w:t>100  (</w:t>
            </w:r>
            <w:proofErr w:type="gramEnd"/>
            <w:r>
              <w:rPr>
                <w:rFonts w:eastAsia="Times New Roman"/>
              </w:rPr>
              <w:t>Heckerling et al. Ann Intern Med.  1990; 113:664)</w:t>
            </w:r>
          </w:p>
          <w:p w14:paraId="08B0F5B2" w14:textId="77777777" w:rsidR="00BA308E" w:rsidRDefault="00BA308E" w:rsidP="00BA308E">
            <w:pPr>
              <w:pStyle w:val="Heading3"/>
              <w:spacing w:line="360" w:lineRule="auto"/>
              <w:ind w:left="360" w:firstLine="0"/>
              <w:rPr>
                <w:rFonts w:eastAsia="Times New Roman"/>
              </w:rPr>
            </w:pPr>
          </w:p>
          <w:p w14:paraId="7BAD4258" w14:textId="24265D30" w:rsidR="00E87268" w:rsidRDefault="00E87268" w:rsidP="00E87268">
            <w:pPr>
              <w:pStyle w:val="Heading3"/>
              <w:spacing w:line="360" w:lineRule="auto"/>
              <w:ind w:left="0" w:firstLine="0"/>
              <w:rPr>
                <w:rFonts w:eastAsia="Times New Roman"/>
              </w:rPr>
            </w:pPr>
          </w:p>
        </w:tc>
      </w:tr>
      <w:tr w:rsidR="00975F83" w14:paraId="6998E703" w14:textId="77777777" w:rsidTr="00BA308E">
        <w:tc>
          <w:tcPr>
            <w:tcW w:w="10912" w:type="dxa"/>
            <w:gridSpan w:val="8"/>
            <w:shd w:val="clear" w:color="auto" w:fill="CCFFFF"/>
            <w:tcMar>
              <w:top w:w="0" w:type="dxa"/>
              <w:left w:w="108" w:type="dxa"/>
              <w:bottom w:w="0" w:type="dxa"/>
              <w:right w:w="108" w:type="dxa"/>
            </w:tcMar>
            <w:hideMark/>
          </w:tcPr>
          <w:p w14:paraId="1A87DF94" w14:textId="77777777" w:rsidR="00975F83" w:rsidRDefault="007018A3">
            <w:pPr>
              <w:pStyle w:val="Heading1"/>
              <w:spacing w:line="360" w:lineRule="auto"/>
              <w:ind w:left="0" w:firstLine="0"/>
              <w:rPr>
                <w:rFonts w:eastAsia="Times New Roman"/>
                <w:b/>
                <w:bCs/>
              </w:rPr>
            </w:pPr>
            <w:bookmarkStart w:id="4" w:name="_Determination_of_Outpatient"/>
            <w:bookmarkEnd w:id="4"/>
            <w:r>
              <w:rPr>
                <w:rFonts w:eastAsia="Times New Roman"/>
                <w:b/>
                <w:bCs/>
              </w:rPr>
              <w:t xml:space="preserve">Determination of Outpatient vs. Inpatient Management </w:t>
            </w:r>
          </w:p>
        </w:tc>
      </w:tr>
      <w:tr w:rsidR="00975F83" w14:paraId="182E06A6" w14:textId="77777777" w:rsidTr="00BA308E">
        <w:tc>
          <w:tcPr>
            <w:tcW w:w="10912" w:type="dxa"/>
            <w:gridSpan w:val="8"/>
            <w:tcMar>
              <w:top w:w="0" w:type="dxa"/>
              <w:left w:w="108" w:type="dxa"/>
              <w:bottom w:w="0" w:type="dxa"/>
              <w:right w:w="108" w:type="dxa"/>
            </w:tcMar>
            <w:hideMark/>
          </w:tcPr>
          <w:p w14:paraId="29E34B69" w14:textId="5F63AB79" w:rsidR="00975F83" w:rsidRDefault="007018A3">
            <w:pPr>
              <w:pStyle w:val="Heading1"/>
              <w:spacing w:line="360" w:lineRule="auto"/>
              <w:ind w:left="0" w:firstLine="0"/>
              <w:rPr>
                <w:rFonts w:eastAsia="Times New Roman"/>
                <w:bCs/>
              </w:rPr>
            </w:pPr>
            <w:r>
              <w:rPr>
                <w:rFonts w:eastAsia="Times New Roman"/>
                <w:bCs/>
              </w:rPr>
              <w:t xml:space="preserve">The </w:t>
            </w:r>
            <w:hyperlink r:id="rId5" w:history="1">
              <w:r>
                <w:rPr>
                  <w:rStyle w:val="Hyperlink"/>
                  <w:rFonts w:eastAsia="Times New Roman"/>
                  <w:bCs/>
                </w:rPr>
                <w:t>Pneumonia Severity Index</w:t>
              </w:r>
            </w:hyperlink>
            <w:r>
              <w:rPr>
                <w:rFonts w:eastAsia="Times New Roman"/>
                <w:bCs/>
              </w:rPr>
              <w:t xml:space="preserve"> </w:t>
            </w:r>
            <w:r w:rsidR="008F2904">
              <w:rPr>
                <w:rFonts w:eastAsia="Times New Roman"/>
                <w:bCs/>
              </w:rPr>
              <w:t xml:space="preserve">(PSI) </w:t>
            </w:r>
            <w:r>
              <w:rPr>
                <w:rFonts w:eastAsia="Times New Roman"/>
                <w:bCs/>
              </w:rPr>
              <w:t>should be used in determining whether outpatient or inpatient management of pneumonia is most appropriate:</w:t>
            </w:r>
          </w:p>
          <w:p w14:paraId="0DB61DDF" w14:textId="77777777" w:rsidR="00E87268" w:rsidRDefault="00E87268">
            <w:pPr>
              <w:pStyle w:val="Heading1"/>
              <w:spacing w:line="360" w:lineRule="auto"/>
              <w:ind w:left="0" w:firstLine="0"/>
              <w:rPr>
                <w:rFonts w:eastAsia="Times New Roman"/>
                <w:bCs/>
              </w:rPr>
            </w:pPr>
          </w:p>
          <w:p w14:paraId="0FD0D583" w14:textId="7C7D92D0" w:rsidR="00975F83" w:rsidRDefault="00E87268">
            <w:pPr>
              <w:pStyle w:val="Heading1"/>
              <w:spacing w:line="360" w:lineRule="auto"/>
              <w:ind w:left="0" w:firstLine="0"/>
              <w:rPr>
                <w:rFonts w:eastAsia="Times New Roman"/>
                <w:b/>
                <w:bCs/>
              </w:rPr>
            </w:pPr>
            <w:r>
              <w:rPr>
                <w:rFonts w:eastAsia="Times New Roman"/>
                <w:b/>
                <w:bCs/>
              </w:rPr>
              <w:t xml:space="preserve">                                                     </w:t>
            </w:r>
            <w:r w:rsidR="007018A3">
              <w:rPr>
                <w:rFonts w:eastAsia="Times New Roman"/>
                <w:b/>
                <w:bCs/>
              </w:rPr>
              <w:t>Score                Risk                 Disposition</w:t>
            </w:r>
          </w:p>
          <w:p w14:paraId="599BB850" w14:textId="13FF9BA2" w:rsidR="00975F83" w:rsidRDefault="00E87268">
            <w:pPr>
              <w:pStyle w:val="Heading1"/>
              <w:spacing w:line="360" w:lineRule="auto"/>
              <w:ind w:left="0" w:firstLine="0"/>
              <w:rPr>
                <w:rFonts w:eastAsia="Times New Roman"/>
                <w:bCs/>
              </w:rPr>
            </w:pPr>
            <w:r>
              <w:rPr>
                <w:rFonts w:eastAsia="Times New Roman"/>
                <w:bCs/>
              </w:rPr>
              <w:t xml:space="preserve">                                                      </w:t>
            </w:r>
            <w:r w:rsidR="007018A3">
              <w:rPr>
                <w:rFonts w:eastAsia="Times New Roman"/>
                <w:bCs/>
              </w:rPr>
              <w:t>≤70                    Low risk            Outpatient care</w:t>
            </w:r>
          </w:p>
          <w:p w14:paraId="45FAB7F8" w14:textId="16C7379A" w:rsidR="00975F83" w:rsidRDefault="00E87268">
            <w:pPr>
              <w:pStyle w:val="Heading1"/>
              <w:spacing w:line="360" w:lineRule="auto"/>
              <w:ind w:left="0" w:firstLine="0"/>
              <w:rPr>
                <w:rFonts w:eastAsia="Times New Roman"/>
                <w:bCs/>
              </w:rPr>
            </w:pPr>
            <w:r>
              <w:rPr>
                <w:rFonts w:eastAsia="Times New Roman"/>
                <w:bCs/>
              </w:rPr>
              <w:t xml:space="preserve">                                                      </w:t>
            </w:r>
            <w:r w:rsidR="007018A3">
              <w:rPr>
                <w:rFonts w:eastAsia="Times New Roman"/>
                <w:bCs/>
              </w:rPr>
              <w:t>71-90                 Low risk            Outpatient vs. observation admission</w:t>
            </w:r>
          </w:p>
          <w:p w14:paraId="3E7075F1" w14:textId="73C07D90" w:rsidR="00975F83" w:rsidRDefault="00E87268">
            <w:pPr>
              <w:pStyle w:val="Heading1"/>
              <w:spacing w:line="360" w:lineRule="auto"/>
              <w:ind w:left="0" w:firstLine="0"/>
              <w:rPr>
                <w:rFonts w:eastAsia="Times New Roman"/>
                <w:bCs/>
              </w:rPr>
            </w:pPr>
            <w:r>
              <w:rPr>
                <w:rFonts w:eastAsia="Times New Roman"/>
                <w:bCs/>
              </w:rPr>
              <w:t xml:space="preserve">                                                      </w:t>
            </w:r>
            <w:r w:rsidR="007018A3">
              <w:rPr>
                <w:rFonts w:eastAsia="Times New Roman"/>
                <w:bCs/>
              </w:rPr>
              <w:t>91-130               Moderate risk    Inpatient admission</w:t>
            </w:r>
          </w:p>
          <w:p w14:paraId="32E1C1FE" w14:textId="77777777" w:rsidR="008F2904" w:rsidRDefault="00E87268" w:rsidP="006E1F30">
            <w:pPr>
              <w:pStyle w:val="ListBullet2"/>
              <w:spacing w:line="360" w:lineRule="auto"/>
              <w:ind w:left="0" w:firstLine="0"/>
              <w:rPr>
                <w:bCs/>
              </w:rPr>
            </w:pPr>
            <w:r>
              <w:rPr>
                <w:bCs/>
              </w:rPr>
              <w:t xml:space="preserve">                                                     </w:t>
            </w:r>
            <w:r w:rsidR="007018A3">
              <w:rPr>
                <w:bCs/>
              </w:rPr>
              <w:t>&gt;130                  High risk            Inpatient admission</w:t>
            </w:r>
          </w:p>
          <w:p w14:paraId="5A8E6B98" w14:textId="77777777" w:rsidR="00BA308E" w:rsidRDefault="00BA308E" w:rsidP="00BA308E">
            <w:pPr>
              <w:pStyle w:val="Heading1"/>
              <w:spacing w:line="360" w:lineRule="auto"/>
              <w:ind w:left="0" w:firstLine="0"/>
              <w:rPr>
                <w:rFonts w:eastAsia="Times New Roman"/>
                <w:bCs/>
              </w:rPr>
            </w:pPr>
            <w:r>
              <w:rPr>
                <w:rFonts w:eastAsia="Times New Roman"/>
                <w:bCs/>
              </w:rPr>
              <w:t xml:space="preserve">If enough information to calculate the PSI are not available, decisions regarding initial triage can be made using the CURB-65 score.  </w:t>
            </w:r>
            <w:r>
              <w:t xml:space="preserve">The </w:t>
            </w:r>
            <w:r>
              <w:rPr>
                <w:b/>
                <w:bCs/>
              </w:rPr>
              <w:t>CURB-65</w:t>
            </w:r>
            <w:r>
              <w:t xml:space="preserve"> score assigns one point to each of the following:</w:t>
            </w:r>
          </w:p>
          <w:p w14:paraId="24C2957D" w14:textId="77777777" w:rsidR="00BA308E" w:rsidRDefault="00BA308E" w:rsidP="00BA308E">
            <w:pPr>
              <w:pStyle w:val="ListBullet2"/>
              <w:spacing w:line="360" w:lineRule="auto"/>
              <w:rPr>
                <w:bCs/>
              </w:rPr>
            </w:pPr>
            <w:r>
              <w:rPr>
                <w:rFonts w:ascii="Symbol" w:eastAsia="Symbol" w:hAnsi="Symbol" w:cs="Symbol"/>
                <w:bCs/>
              </w:rPr>
              <w:t></w:t>
            </w:r>
            <w:r>
              <w:rPr>
                <w:rFonts w:ascii="Times New Roman" w:eastAsia="Symbol" w:hAnsi="Times New Roman" w:cs="Times New Roman"/>
                <w:bCs/>
                <w:sz w:val="14"/>
                <w:szCs w:val="14"/>
              </w:rPr>
              <w:t xml:space="preserve">         </w:t>
            </w:r>
            <w:r>
              <w:rPr>
                <w:b/>
                <w:bCs/>
                <w:u w:val="single"/>
              </w:rPr>
              <w:t>C</w:t>
            </w:r>
            <w:r>
              <w:t>onfusion that is new, and manifested by disorientation to person, place or time</w:t>
            </w:r>
          </w:p>
          <w:p w14:paraId="57EDAC22" w14:textId="77777777" w:rsidR="00BA308E" w:rsidRDefault="00BA308E" w:rsidP="00BA308E">
            <w:pPr>
              <w:pStyle w:val="ListBullet2"/>
              <w:spacing w:line="360" w:lineRule="auto"/>
              <w:rPr>
                <w:bCs/>
              </w:rPr>
            </w:pPr>
            <w:r>
              <w:rPr>
                <w:rFonts w:ascii="Symbol" w:eastAsia="Symbol" w:hAnsi="Symbol" w:cs="Symbol"/>
                <w:bCs/>
              </w:rPr>
              <w:t></w:t>
            </w:r>
            <w:r>
              <w:rPr>
                <w:rFonts w:ascii="Times New Roman" w:eastAsia="Symbol" w:hAnsi="Times New Roman" w:cs="Times New Roman"/>
                <w:bCs/>
                <w:sz w:val="14"/>
                <w:szCs w:val="14"/>
              </w:rPr>
              <w:t xml:space="preserve">         </w:t>
            </w:r>
            <w:r>
              <w:rPr>
                <w:b/>
                <w:bCs/>
                <w:u w:val="single"/>
              </w:rPr>
              <w:t>U</w:t>
            </w:r>
            <w:r>
              <w:t>remia (BUN &gt; 20mg/dL)</w:t>
            </w:r>
          </w:p>
          <w:p w14:paraId="53F17861" w14:textId="77777777" w:rsidR="00BA308E" w:rsidRDefault="00BA308E" w:rsidP="00BA308E">
            <w:pPr>
              <w:pStyle w:val="ListBullet2"/>
              <w:spacing w:line="360" w:lineRule="auto"/>
              <w:rPr>
                <w:bCs/>
              </w:rPr>
            </w:pPr>
            <w:r>
              <w:rPr>
                <w:rFonts w:ascii="Symbol" w:eastAsia="Symbol" w:hAnsi="Symbol" w:cs="Symbol"/>
                <w:bCs/>
              </w:rPr>
              <w:t></w:t>
            </w:r>
            <w:r>
              <w:rPr>
                <w:rFonts w:ascii="Times New Roman" w:eastAsia="Symbol" w:hAnsi="Times New Roman" w:cs="Times New Roman"/>
                <w:bCs/>
                <w:sz w:val="14"/>
                <w:szCs w:val="14"/>
              </w:rPr>
              <w:t xml:space="preserve">         </w:t>
            </w:r>
            <w:r>
              <w:rPr>
                <w:b/>
                <w:bCs/>
                <w:u w:val="single"/>
              </w:rPr>
              <w:t>R</w:t>
            </w:r>
            <w:r>
              <w:t>espiratory rate ≥ 30</w:t>
            </w:r>
          </w:p>
          <w:p w14:paraId="71A40DE2" w14:textId="77777777" w:rsidR="00BA308E" w:rsidRDefault="00BA308E" w:rsidP="00BA308E">
            <w:pPr>
              <w:pStyle w:val="ListBullet2"/>
              <w:spacing w:line="360" w:lineRule="auto"/>
              <w:rPr>
                <w:bCs/>
              </w:rPr>
            </w:pPr>
            <w:r>
              <w:rPr>
                <w:rFonts w:ascii="Symbol" w:eastAsia="Symbol" w:hAnsi="Symbol" w:cs="Symbol"/>
                <w:bCs/>
              </w:rPr>
              <w:t></w:t>
            </w:r>
            <w:r>
              <w:rPr>
                <w:rFonts w:ascii="Times New Roman" w:eastAsia="Symbol" w:hAnsi="Times New Roman" w:cs="Times New Roman"/>
                <w:bCs/>
                <w:sz w:val="14"/>
                <w:szCs w:val="14"/>
              </w:rPr>
              <w:t xml:space="preserve">         </w:t>
            </w:r>
            <w:r>
              <w:t xml:space="preserve">low </w:t>
            </w:r>
            <w:r>
              <w:rPr>
                <w:b/>
                <w:bCs/>
                <w:u w:val="single"/>
              </w:rPr>
              <w:t>B</w:t>
            </w:r>
            <w:r>
              <w:t>lood pressure (&lt;90 systolic or &lt; 60 diastolic)</w:t>
            </w:r>
          </w:p>
          <w:p w14:paraId="3DB57F7A" w14:textId="77777777" w:rsidR="00BA308E" w:rsidRDefault="00BA308E" w:rsidP="00BA308E">
            <w:pPr>
              <w:pStyle w:val="ListBullet2"/>
              <w:spacing w:line="360" w:lineRule="auto"/>
            </w:pPr>
            <w:r>
              <w:rPr>
                <w:rFonts w:ascii="Symbol" w:eastAsia="Symbol" w:hAnsi="Symbol" w:cs="Symbol"/>
                <w:bCs/>
              </w:rPr>
              <w:t></w:t>
            </w:r>
            <w:r>
              <w:rPr>
                <w:rFonts w:ascii="Times New Roman" w:eastAsia="Symbol" w:hAnsi="Times New Roman" w:cs="Times New Roman"/>
                <w:bCs/>
                <w:sz w:val="14"/>
                <w:szCs w:val="14"/>
              </w:rPr>
              <w:t xml:space="preserve">         </w:t>
            </w:r>
            <w:r>
              <w:t xml:space="preserve">age ≥ </w:t>
            </w:r>
            <w:r>
              <w:rPr>
                <w:b/>
                <w:bCs/>
                <w:u w:val="single"/>
              </w:rPr>
              <w:t>65</w:t>
            </w:r>
            <w:r>
              <w:t xml:space="preserve"> years</w:t>
            </w:r>
          </w:p>
          <w:p w14:paraId="76E84635" w14:textId="77777777" w:rsidR="00BA308E" w:rsidRDefault="00BA308E" w:rsidP="00BA308E">
            <w:pPr>
              <w:pStyle w:val="Heading3"/>
              <w:spacing w:line="360" w:lineRule="auto"/>
              <w:ind w:left="0" w:firstLine="0"/>
            </w:pPr>
            <w:r>
              <w:t>CURB-65 scores of 0 or 1:  patient is at low risk for serious outcomes and can be treated on an outpatient basis</w:t>
            </w:r>
          </w:p>
          <w:p w14:paraId="26A57C42" w14:textId="16340B57" w:rsidR="00E87268" w:rsidRDefault="00BA308E" w:rsidP="00BA308E">
            <w:pPr>
              <w:pStyle w:val="ListBullet2"/>
              <w:spacing w:line="360" w:lineRule="auto"/>
              <w:ind w:left="0" w:firstLine="0"/>
            </w:pPr>
            <w:r>
              <w:t>CURB-65 scores ≥ 2:  patient should be evaluated for hospital admission</w:t>
            </w:r>
          </w:p>
          <w:p w14:paraId="65A3C0A6" w14:textId="77777777" w:rsidR="00BA308E" w:rsidRDefault="00BA308E" w:rsidP="00BA308E">
            <w:pPr>
              <w:pStyle w:val="ListBullet2"/>
              <w:spacing w:line="360" w:lineRule="auto"/>
              <w:ind w:left="0" w:firstLine="0"/>
              <w:rPr>
                <w:bCs/>
              </w:rPr>
            </w:pPr>
          </w:p>
          <w:p w14:paraId="7B697803" w14:textId="359CAD15" w:rsidR="00E87268" w:rsidRDefault="00E87268" w:rsidP="006E1F30">
            <w:pPr>
              <w:pStyle w:val="ListBullet2"/>
              <w:spacing w:line="360" w:lineRule="auto"/>
              <w:ind w:left="0" w:firstLine="0"/>
              <w:rPr>
                <w:bCs/>
              </w:rPr>
            </w:pPr>
          </w:p>
        </w:tc>
      </w:tr>
      <w:tr w:rsidR="00975F83" w14:paraId="7F3C0468" w14:textId="77777777" w:rsidTr="00BA308E">
        <w:tc>
          <w:tcPr>
            <w:tcW w:w="10912" w:type="dxa"/>
            <w:gridSpan w:val="8"/>
            <w:shd w:val="clear" w:color="auto" w:fill="CCFFFF"/>
            <w:tcMar>
              <w:top w:w="0" w:type="dxa"/>
              <w:left w:w="108" w:type="dxa"/>
              <w:bottom w:w="0" w:type="dxa"/>
              <w:right w:w="108" w:type="dxa"/>
            </w:tcMar>
            <w:hideMark/>
          </w:tcPr>
          <w:p w14:paraId="38C1D603" w14:textId="77777777" w:rsidR="00975F83" w:rsidRDefault="007018A3">
            <w:pPr>
              <w:pStyle w:val="Heading1"/>
              <w:spacing w:line="360" w:lineRule="auto"/>
              <w:ind w:left="0" w:firstLine="0"/>
              <w:rPr>
                <w:rFonts w:eastAsia="Times New Roman"/>
                <w:b/>
                <w:bCs/>
              </w:rPr>
            </w:pPr>
            <w:bookmarkStart w:id="5" w:name="_Determination_of_Inpatient"/>
            <w:bookmarkEnd w:id="5"/>
            <w:r>
              <w:rPr>
                <w:rFonts w:eastAsia="Times New Roman"/>
                <w:b/>
                <w:bCs/>
              </w:rPr>
              <w:t>Determination of Inpatient Pneumonia Severity</w:t>
            </w:r>
          </w:p>
        </w:tc>
      </w:tr>
      <w:tr w:rsidR="00975F83" w14:paraId="46CF97CE" w14:textId="77777777" w:rsidTr="00BA308E">
        <w:tc>
          <w:tcPr>
            <w:tcW w:w="10912" w:type="dxa"/>
            <w:gridSpan w:val="8"/>
            <w:tcMar>
              <w:top w:w="0" w:type="dxa"/>
              <w:left w:w="108" w:type="dxa"/>
              <w:bottom w:w="0" w:type="dxa"/>
              <w:right w:w="108" w:type="dxa"/>
            </w:tcMar>
            <w:hideMark/>
          </w:tcPr>
          <w:p w14:paraId="3C820962" w14:textId="77777777" w:rsidR="00975F83" w:rsidRDefault="007018A3">
            <w:pPr>
              <w:pStyle w:val="Heading1"/>
              <w:spacing w:line="360" w:lineRule="auto"/>
              <w:ind w:left="0" w:firstLine="0"/>
              <w:rPr>
                <w:rFonts w:eastAsia="Times New Roman"/>
                <w:bCs/>
              </w:rPr>
            </w:pPr>
            <w:r>
              <w:rPr>
                <w:rFonts w:eastAsia="Times New Roman"/>
                <w:bCs/>
              </w:rPr>
              <w:t>Once the patient is admitted, determination of the severity of presentation is useful in determining empiric antimicrobial therapy and need for blood and lower respiratory cultures.  Severe inpatient pneumonia can be defined by meeting either one major criterion or three or more minor criteria of the following:</w:t>
            </w:r>
          </w:p>
          <w:p w14:paraId="63AEDB54" w14:textId="77777777" w:rsidR="00975F83" w:rsidRDefault="007018A3" w:rsidP="00E87268">
            <w:pPr>
              <w:pStyle w:val="Heading1"/>
              <w:spacing w:line="360" w:lineRule="auto"/>
              <w:ind w:left="360" w:firstLine="0"/>
              <w:rPr>
                <w:rFonts w:eastAsia="Times New Roman"/>
                <w:b/>
                <w:bCs/>
              </w:rPr>
            </w:pPr>
            <w:r>
              <w:rPr>
                <w:rFonts w:eastAsia="Times New Roman"/>
                <w:b/>
                <w:bCs/>
              </w:rPr>
              <w:t>Major criteria</w:t>
            </w:r>
          </w:p>
          <w:p w14:paraId="4621007B" w14:textId="77777777" w:rsidR="00975F83" w:rsidRDefault="007018A3" w:rsidP="00E87268">
            <w:pPr>
              <w:pStyle w:val="Heading1"/>
              <w:spacing w:line="360" w:lineRule="auto"/>
              <w:ind w:left="1080" w:hanging="360"/>
              <w:rPr>
                <w:rFonts w:eastAsia="Times New Roman"/>
                <w:b/>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Septic shock requiring vasopressors</w:t>
            </w:r>
          </w:p>
          <w:p w14:paraId="7B1C35CA" w14:textId="77777777" w:rsidR="00975F83" w:rsidRDefault="007018A3" w:rsidP="00E87268">
            <w:pPr>
              <w:pStyle w:val="Heading1"/>
              <w:spacing w:line="360" w:lineRule="auto"/>
              <w:ind w:left="1080" w:hanging="360"/>
              <w:rPr>
                <w:rFonts w:eastAsia="Times New Roman"/>
                <w:b/>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Respiratory failure requiring mechanical ventilation</w:t>
            </w:r>
          </w:p>
          <w:p w14:paraId="04486EB0" w14:textId="77777777" w:rsidR="00975F83" w:rsidRDefault="007018A3" w:rsidP="00E87268">
            <w:pPr>
              <w:pStyle w:val="Heading1"/>
              <w:spacing w:line="360" w:lineRule="auto"/>
              <w:ind w:left="792"/>
              <w:rPr>
                <w:rFonts w:eastAsia="Times New Roman"/>
                <w:b/>
                <w:bCs/>
              </w:rPr>
            </w:pPr>
            <w:r>
              <w:rPr>
                <w:rFonts w:eastAsia="Times New Roman"/>
                <w:b/>
                <w:bCs/>
              </w:rPr>
              <w:t>Minor criteria</w:t>
            </w:r>
          </w:p>
          <w:p w14:paraId="69CB036B"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Respiratory rate ≥ 30 breaths/min</w:t>
            </w:r>
          </w:p>
          <w:p w14:paraId="2C4F0387"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PaO</w:t>
            </w:r>
            <w:r>
              <w:rPr>
                <w:rFonts w:eastAsia="Times New Roman"/>
                <w:bCs/>
                <w:vertAlign w:val="subscript"/>
              </w:rPr>
              <w:t>2</w:t>
            </w:r>
            <w:r>
              <w:rPr>
                <w:rFonts w:eastAsia="Times New Roman"/>
                <w:bCs/>
              </w:rPr>
              <w:t>/FiO</w:t>
            </w:r>
            <w:r>
              <w:rPr>
                <w:rFonts w:eastAsia="Times New Roman"/>
                <w:bCs/>
                <w:vertAlign w:val="subscript"/>
              </w:rPr>
              <w:t>2</w:t>
            </w:r>
            <w:r>
              <w:rPr>
                <w:rFonts w:eastAsia="Times New Roman"/>
                <w:bCs/>
              </w:rPr>
              <w:t xml:space="preserve"> ratio ≤ 250</w:t>
            </w:r>
          </w:p>
          <w:p w14:paraId="6E471BD8"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proofErr w:type="spellStart"/>
            <w:r>
              <w:rPr>
                <w:rFonts w:eastAsia="Times New Roman"/>
                <w:bCs/>
              </w:rPr>
              <w:t>Multilobar</w:t>
            </w:r>
            <w:proofErr w:type="spellEnd"/>
            <w:r>
              <w:rPr>
                <w:rFonts w:eastAsia="Times New Roman"/>
                <w:bCs/>
              </w:rPr>
              <w:t xml:space="preserve"> infiltrates</w:t>
            </w:r>
          </w:p>
          <w:p w14:paraId="39042A73"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Confusion/disorientation</w:t>
            </w:r>
          </w:p>
          <w:p w14:paraId="6FDD56B7"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Azotemia (BUN &gt; 20mg/dL)</w:t>
            </w:r>
          </w:p>
          <w:p w14:paraId="19549BA0"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Leukopenia (WBC &lt; 4000 cells/µL)</w:t>
            </w:r>
          </w:p>
          <w:p w14:paraId="5DE30764"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Thrombocytopenia (platelets &lt; 100,000/ µL)</w:t>
            </w:r>
          </w:p>
          <w:p w14:paraId="699F5EFE" w14:textId="77777777" w:rsidR="00975F83" w:rsidRDefault="007018A3" w:rsidP="00E87268">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Hypothermia (core temperature &lt; 36</w:t>
            </w:r>
            <w:r>
              <w:rPr>
                <w:rFonts w:ascii="Times New Roman" w:eastAsia="Times New Roman" w:hAnsi="Times New Roman" w:cs="Times New Roman"/>
                <w:bCs/>
              </w:rPr>
              <w:t>°</w:t>
            </w:r>
            <w:r>
              <w:rPr>
                <w:rFonts w:eastAsia="Times New Roman"/>
                <w:bCs/>
              </w:rPr>
              <w:t>C)</w:t>
            </w:r>
          </w:p>
          <w:p w14:paraId="1520A05B" w14:textId="77777777" w:rsidR="009E692E" w:rsidRDefault="007018A3" w:rsidP="00BA308E">
            <w:pPr>
              <w:pStyle w:val="Heading1"/>
              <w:spacing w:line="360" w:lineRule="auto"/>
              <w:ind w:left="1080" w:hanging="360"/>
              <w:rPr>
                <w:rFonts w:eastAsia="Times New Roman"/>
                <w:bCs/>
              </w:rPr>
            </w:pPr>
            <w:r>
              <w:rPr>
                <w:rFonts w:ascii="Symbol" w:eastAsia="Symbol" w:hAnsi="Symbol" w:cs="Symbol"/>
                <w:bCs/>
              </w:rPr>
              <w:t></w:t>
            </w:r>
            <w:r>
              <w:rPr>
                <w:rFonts w:ascii="Times New Roman" w:eastAsia="Symbol" w:hAnsi="Times New Roman" w:cs="Times New Roman"/>
                <w:bCs/>
                <w:sz w:val="14"/>
                <w:szCs w:val="14"/>
              </w:rPr>
              <w:t xml:space="preserve">         </w:t>
            </w:r>
            <w:r>
              <w:rPr>
                <w:rFonts w:eastAsia="Times New Roman"/>
                <w:bCs/>
              </w:rPr>
              <w:t>Hypotension requiring aggressive fluid resuscitation</w:t>
            </w:r>
          </w:p>
          <w:p w14:paraId="220C240C" w14:textId="07CE6C62" w:rsidR="00BA308E" w:rsidRDefault="00BA308E" w:rsidP="00BA308E">
            <w:pPr>
              <w:pStyle w:val="Heading1"/>
              <w:spacing w:line="360" w:lineRule="auto"/>
              <w:ind w:left="1080" w:hanging="360"/>
              <w:rPr>
                <w:rFonts w:eastAsia="Times New Roman"/>
                <w:bCs/>
              </w:rPr>
            </w:pPr>
          </w:p>
        </w:tc>
      </w:tr>
    </w:tbl>
    <w:p w14:paraId="687C3FB7" w14:textId="77777777" w:rsidR="00BA308E" w:rsidRDefault="00BA308E">
      <w:r>
        <w:br w:type="page"/>
      </w:r>
    </w:p>
    <w:tbl>
      <w:tblPr>
        <w:tblW w:w="10912" w:type="dxa"/>
        <w:tblCellMar>
          <w:left w:w="0" w:type="dxa"/>
          <w:right w:w="0" w:type="dxa"/>
        </w:tblCellMar>
        <w:tblLook w:val="04A0" w:firstRow="1" w:lastRow="0" w:firstColumn="1" w:lastColumn="0" w:noHBand="0" w:noVBand="1"/>
      </w:tblPr>
      <w:tblGrid>
        <w:gridCol w:w="10912"/>
      </w:tblGrid>
      <w:tr w:rsidR="00975F83" w14:paraId="7E328A19" w14:textId="77777777" w:rsidTr="00BA308E">
        <w:tc>
          <w:tcPr>
            <w:tcW w:w="10912" w:type="dxa"/>
            <w:shd w:val="clear" w:color="auto" w:fill="CCFFFF"/>
            <w:tcMar>
              <w:top w:w="0" w:type="dxa"/>
              <w:left w:w="108" w:type="dxa"/>
              <w:bottom w:w="0" w:type="dxa"/>
              <w:right w:w="108" w:type="dxa"/>
            </w:tcMar>
            <w:hideMark/>
          </w:tcPr>
          <w:p w14:paraId="24FFA390" w14:textId="1FB471BE" w:rsidR="00975F83" w:rsidRDefault="007018A3">
            <w:pPr>
              <w:pStyle w:val="Heading1"/>
              <w:spacing w:line="360" w:lineRule="auto"/>
              <w:ind w:left="0" w:firstLine="0"/>
              <w:rPr>
                <w:rFonts w:eastAsia="Times New Roman"/>
                <w:b/>
                <w:bCs/>
              </w:rPr>
            </w:pPr>
            <w:bookmarkStart w:id="6" w:name="_Microbiological_Assessment"/>
            <w:bookmarkEnd w:id="6"/>
            <w:r>
              <w:rPr>
                <w:rFonts w:eastAsia="Times New Roman"/>
                <w:b/>
                <w:bCs/>
              </w:rPr>
              <w:t>Microbiological Assessment</w:t>
            </w:r>
          </w:p>
        </w:tc>
      </w:tr>
      <w:tr w:rsidR="00975F83" w14:paraId="1D7DE383" w14:textId="77777777" w:rsidTr="00BA308E">
        <w:tc>
          <w:tcPr>
            <w:tcW w:w="10912" w:type="dxa"/>
            <w:tcMar>
              <w:top w:w="0" w:type="dxa"/>
              <w:left w:w="108" w:type="dxa"/>
              <w:bottom w:w="0" w:type="dxa"/>
              <w:right w:w="108" w:type="dxa"/>
            </w:tcMar>
            <w:hideMark/>
          </w:tcPr>
          <w:p w14:paraId="73E8E986" w14:textId="77777777" w:rsidR="00975F83" w:rsidRDefault="007018A3">
            <w:pPr>
              <w:pStyle w:val="Heading1"/>
              <w:spacing w:line="360" w:lineRule="auto"/>
              <w:rPr>
                <w:rFonts w:eastAsia="Times New Roman"/>
                <w:iCs/>
              </w:rPr>
            </w:pPr>
            <w:r>
              <w:rPr>
                <w:rFonts w:eastAsia="Times New Roman"/>
                <w:u w:val="single"/>
              </w:rPr>
              <w:t>Blood cultures and respiratory tract cultures</w:t>
            </w:r>
            <w:r>
              <w:rPr>
                <w:rFonts w:eastAsia="Times New Roman"/>
              </w:rPr>
              <w:t xml:space="preserve">:  Blood cultures and lower respiratory tract specimens (sputum, tracheal aspirate or </w:t>
            </w:r>
            <w:proofErr w:type="spellStart"/>
            <w:r>
              <w:rPr>
                <w:rFonts w:eastAsia="Times New Roman"/>
              </w:rPr>
              <w:t>bronchoscopic</w:t>
            </w:r>
            <w:proofErr w:type="spellEnd"/>
            <w:r>
              <w:rPr>
                <w:rFonts w:eastAsia="Times New Roman"/>
              </w:rPr>
              <w:t xml:space="preserve"> specimen) should be obtained for gram-stain and culture in the following scenarios </w:t>
            </w:r>
            <w:r>
              <w:rPr>
                <w:rFonts w:eastAsia="Times New Roman"/>
                <w:i/>
              </w:rPr>
              <w:t xml:space="preserve">(NOTE: </w:t>
            </w:r>
            <w:r>
              <w:rPr>
                <w:rFonts w:eastAsia="Times New Roman"/>
                <w:i/>
                <w:iCs/>
              </w:rPr>
              <w:t>Sputum gram stain must be evaluated in order to properly interpret sputum culture results)</w:t>
            </w:r>
            <w:r>
              <w:rPr>
                <w:rFonts w:eastAsia="Times New Roman"/>
                <w:iCs/>
              </w:rPr>
              <w:t>:</w:t>
            </w:r>
          </w:p>
          <w:p w14:paraId="4953B10A"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Severe presentation (see major/minor criteria immediately above)</w:t>
            </w:r>
          </w:p>
          <w:p w14:paraId="2ABBB41C"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Hospital onset or ventilator-associated pneumonia suspected</w:t>
            </w:r>
          </w:p>
          <w:p w14:paraId="7DF96A17"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Empiric anti-MRSA or antipseudomonal therapy is being prescribed</w:t>
            </w:r>
          </w:p>
          <w:p w14:paraId="6467DEFA"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Patient has prior history of infection with MRSA or Gram-negative rods resistant to ceftriaxone</w:t>
            </w:r>
          </w:p>
          <w:p w14:paraId="7FE208F0"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 xml:space="preserve">Hospitalization or residence in skilled nursing facility in the last 90 days </w:t>
            </w:r>
          </w:p>
        </w:tc>
      </w:tr>
      <w:tr w:rsidR="00975F83" w14:paraId="51DDC8B1" w14:textId="77777777" w:rsidTr="00BA308E">
        <w:tc>
          <w:tcPr>
            <w:tcW w:w="10912" w:type="dxa"/>
            <w:tcMar>
              <w:top w:w="0" w:type="dxa"/>
              <w:left w:w="108" w:type="dxa"/>
              <w:bottom w:w="0" w:type="dxa"/>
              <w:right w:w="108" w:type="dxa"/>
            </w:tcMar>
            <w:hideMark/>
          </w:tcPr>
          <w:p w14:paraId="018DEA0B" w14:textId="77777777" w:rsidR="00975F83" w:rsidRDefault="007018A3">
            <w:pPr>
              <w:pStyle w:val="Heading1"/>
              <w:spacing w:line="360" w:lineRule="auto"/>
              <w:rPr>
                <w:rFonts w:eastAsia="Times New Roman"/>
              </w:rPr>
            </w:pPr>
            <w:r>
              <w:rPr>
                <w:rFonts w:eastAsia="Times New Roman"/>
                <w:i/>
                <w:u w:val="single"/>
              </w:rPr>
              <w:t xml:space="preserve">Legionella </w:t>
            </w:r>
            <w:r>
              <w:rPr>
                <w:rFonts w:eastAsia="Times New Roman"/>
                <w:u w:val="single"/>
              </w:rPr>
              <w:t>urine antigen testing</w:t>
            </w:r>
            <w:r>
              <w:rPr>
                <w:rFonts w:eastAsia="Times New Roman"/>
              </w:rPr>
              <w:t xml:space="preserve">: Testing for </w:t>
            </w:r>
            <w:r>
              <w:rPr>
                <w:rFonts w:eastAsia="Times New Roman"/>
                <w:i/>
              </w:rPr>
              <w:t xml:space="preserve">Legionella </w:t>
            </w:r>
            <w:r>
              <w:rPr>
                <w:rFonts w:eastAsia="Times New Roman"/>
              </w:rPr>
              <w:t>urinary antigen is recommended in the following scenarios:</w:t>
            </w:r>
          </w:p>
          <w:p w14:paraId="3C58461E"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 xml:space="preserve">Severe presentation of pneumonia (see major/minor criteria above): also send </w:t>
            </w:r>
            <w:r>
              <w:rPr>
                <w:rFonts w:eastAsia="Times New Roman"/>
                <w:i/>
              </w:rPr>
              <w:t xml:space="preserve">Legionella </w:t>
            </w:r>
            <w:r>
              <w:rPr>
                <w:rFonts w:eastAsia="Times New Roman"/>
              </w:rPr>
              <w:t>culture from BAL if bronchoscopy done</w:t>
            </w:r>
          </w:p>
          <w:p w14:paraId="2186C77D"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 xml:space="preserve">Intensive care unit admission: also send </w:t>
            </w:r>
            <w:r>
              <w:rPr>
                <w:rFonts w:eastAsia="Times New Roman"/>
                <w:i/>
              </w:rPr>
              <w:t xml:space="preserve">Legionella </w:t>
            </w:r>
            <w:r>
              <w:rPr>
                <w:rFonts w:eastAsia="Times New Roman"/>
              </w:rPr>
              <w:t>culture from BAL if bronchoscopy done</w:t>
            </w:r>
          </w:p>
          <w:p w14:paraId="4A9FDC81"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 xml:space="preserve">Clinical features suggesting </w:t>
            </w:r>
            <w:r>
              <w:rPr>
                <w:rFonts w:eastAsia="Times New Roman"/>
                <w:i/>
              </w:rPr>
              <w:t xml:space="preserve">Legionella </w:t>
            </w:r>
            <w:r>
              <w:rPr>
                <w:rFonts w:eastAsia="Times New Roman"/>
              </w:rPr>
              <w:t>(e.g., high fever, rigors, hyponatremia, CNS manifestations, LDH levels &gt;700 U/ml)</w:t>
            </w:r>
          </w:p>
          <w:p w14:paraId="71DB0F63"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Failure of outpatient antibiotic therapy</w:t>
            </w:r>
          </w:p>
          <w:p w14:paraId="7BEA3096"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i/>
              </w:rPr>
              <w:t xml:space="preserve">Legionella </w:t>
            </w:r>
            <w:r>
              <w:rPr>
                <w:rFonts w:eastAsia="Times New Roman"/>
              </w:rPr>
              <w:t>outbreaks</w:t>
            </w:r>
          </w:p>
          <w:p w14:paraId="6256F2C9" w14:textId="77777777" w:rsidR="00975F83" w:rsidRDefault="007018A3">
            <w:pPr>
              <w:pStyle w:val="Heading1"/>
              <w:spacing w:line="360" w:lineRule="auto"/>
              <w:ind w:left="720" w:hanging="360"/>
              <w:rPr>
                <w:rFonts w:eastAsia="Times New Roman"/>
              </w:rPr>
            </w:pPr>
            <w:r>
              <w:rPr>
                <w:rFonts w:ascii="Symbol" w:eastAsia="Symbol" w:hAnsi="Symbol" w:cs="Symbol"/>
              </w:rPr>
              <w:t></w:t>
            </w:r>
            <w:r>
              <w:rPr>
                <w:rFonts w:ascii="Times New Roman" w:eastAsia="Symbol" w:hAnsi="Times New Roman" w:cs="Times New Roman"/>
                <w:sz w:val="14"/>
                <w:szCs w:val="14"/>
              </w:rPr>
              <w:t xml:space="preserve">         </w:t>
            </w:r>
            <w:r>
              <w:rPr>
                <w:rFonts w:eastAsia="Times New Roman"/>
              </w:rPr>
              <w:t>Recent travel requiring overnight stay</w:t>
            </w:r>
          </w:p>
          <w:p w14:paraId="581B912D" w14:textId="77777777" w:rsidR="00975F83" w:rsidRDefault="007018A3">
            <w:pPr>
              <w:pStyle w:val="Heading1"/>
              <w:spacing w:line="360" w:lineRule="auto"/>
              <w:rPr>
                <w:rFonts w:eastAsia="Times New Roman"/>
              </w:rPr>
            </w:pPr>
            <w:r>
              <w:rPr>
                <w:rFonts w:eastAsia="Times New Roman"/>
                <w:u w:val="single"/>
              </w:rPr>
              <w:t>Influenza testing:</w:t>
            </w:r>
            <w:r>
              <w:rPr>
                <w:rFonts w:eastAsia="Times New Roman"/>
              </w:rPr>
              <w:t xml:space="preserve"> Influenza testing (via nasopharyngeal swab) should be performed for patients with suspected pneumonia when influenza viruses are circulating in the community.</w:t>
            </w:r>
          </w:p>
          <w:p w14:paraId="3CACF272" w14:textId="74DCDD1D" w:rsidR="00E87268" w:rsidRDefault="00E87268">
            <w:pPr>
              <w:pStyle w:val="Heading1"/>
              <w:spacing w:line="360" w:lineRule="auto"/>
              <w:rPr>
                <w:rFonts w:eastAsia="Times New Roman"/>
              </w:rPr>
            </w:pPr>
          </w:p>
        </w:tc>
      </w:tr>
      <w:tr w:rsidR="00975F83" w14:paraId="101EB413" w14:textId="77777777" w:rsidTr="00BA308E">
        <w:tc>
          <w:tcPr>
            <w:tcW w:w="10912" w:type="dxa"/>
            <w:shd w:val="clear" w:color="auto" w:fill="CCFFFF"/>
            <w:tcMar>
              <w:top w:w="0" w:type="dxa"/>
              <w:left w:w="108" w:type="dxa"/>
              <w:bottom w:w="0" w:type="dxa"/>
              <w:right w:w="108" w:type="dxa"/>
            </w:tcMar>
            <w:hideMark/>
          </w:tcPr>
          <w:p w14:paraId="446920DE" w14:textId="77777777" w:rsidR="00975F83" w:rsidRDefault="007018A3">
            <w:pPr>
              <w:spacing w:line="360" w:lineRule="auto"/>
            </w:pPr>
            <w:bookmarkStart w:id="7" w:name="otherdxconsid"/>
            <w:bookmarkEnd w:id="7"/>
            <w:r>
              <w:rPr>
                <w:b/>
                <w:bCs/>
              </w:rPr>
              <w:t>Other diagnostic considerations in pneumonia management</w:t>
            </w:r>
          </w:p>
        </w:tc>
      </w:tr>
      <w:tr w:rsidR="00975F83" w14:paraId="60A1E737" w14:textId="77777777" w:rsidTr="00BA308E">
        <w:tc>
          <w:tcPr>
            <w:tcW w:w="10912" w:type="dxa"/>
            <w:tcMar>
              <w:top w:w="0" w:type="dxa"/>
              <w:left w:w="108" w:type="dxa"/>
              <w:bottom w:w="0" w:type="dxa"/>
              <w:right w:w="108" w:type="dxa"/>
            </w:tcMar>
            <w:hideMark/>
          </w:tcPr>
          <w:p w14:paraId="04EF0510" w14:textId="70D42847" w:rsidR="00975F83" w:rsidRDefault="007018A3" w:rsidP="00E87268">
            <w:pPr>
              <w:pStyle w:val="ListBullet"/>
              <w:numPr>
                <w:ilvl w:val="0"/>
                <w:numId w:val="13"/>
              </w:numPr>
              <w:spacing w:line="360" w:lineRule="auto"/>
            </w:pPr>
            <w:r>
              <w:t>Obtain epidemiological history:  travel, exposures to birds, other animals and persons with tuberculosis, incarceration, drug use, sexual activity (HIV risk factors), illnesses in family or other close contacts.</w:t>
            </w:r>
          </w:p>
        </w:tc>
      </w:tr>
      <w:tr w:rsidR="00975F83" w14:paraId="54DD2D75" w14:textId="77777777" w:rsidTr="00BA308E">
        <w:tc>
          <w:tcPr>
            <w:tcW w:w="10912" w:type="dxa"/>
            <w:tcMar>
              <w:top w:w="0" w:type="dxa"/>
              <w:left w:w="108" w:type="dxa"/>
              <w:bottom w:w="0" w:type="dxa"/>
              <w:right w:w="108" w:type="dxa"/>
            </w:tcMar>
            <w:hideMark/>
          </w:tcPr>
          <w:p w14:paraId="46416B01" w14:textId="1F268EC2" w:rsidR="00975F83" w:rsidRDefault="007018A3" w:rsidP="00E87268">
            <w:pPr>
              <w:pStyle w:val="ListBullet"/>
              <w:numPr>
                <w:ilvl w:val="0"/>
                <w:numId w:val="13"/>
              </w:numPr>
              <w:spacing w:line="360" w:lineRule="auto"/>
            </w:pPr>
            <w:r>
              <w:t>Medical history:  prior PPD/</w:t>
            </w:r>
            <w:proofErr w:type="spellStart"/>
            <w:r>
              <w:t>quantiferon</w:t>
            </w:r>
            <w:proofErr w:type="spellEnd"/>
            <w:r>
              <w:t xml:space="preserve"> positivity, vaccine history (pneumovax, influenza vaccine), HIV status, use of immunomodulatory agents (corticosteroids, tumor necrosis factor antagonists, cytotoxic chemotherapy, anti-organ rejection agents)</w:t>
            </w:r>
            <w:r w:rsidR="00C7388B">
              <w:t xml:space="preserve"> </w:t>
            </w:r>
          </w:p>
          <w:p w14:paraId="0DE76545" w14:textId="3046574F" w:rsidR="00877A37" w:rsidRDefault="00877A37" w:rsidP="00877A37">
            <w:pPr>
              <w:pStyle w:val="ListBullet"/>
              <w:numPr>
                <w:ilvl w:val="0"/>
                <w:numId w:val="13"/>
              </w:numPr>
              <w:spacing w:line="360" w:lineRule="auto"/>
            </w:pPr>
            <w:r>
              <w:t xml:space="preserve">Procalcitonin testing may be useful when used serially to determine if antimicrobial therapy can be discontinued for ICU patients with suspected lower respiratory tract infections; its use in other settings is less clear.  At our facility, procalcitonin should NOT be ordered as a one-time test to determine </w:t>
            </w:r>
            <w:proofErr w:type="gramStart"/>
            <w:r>
              <w:t>whether or not</w:t>
            </w:r>
            <w:proofErr w:type="gramEnd"/>
            <w:r>
              <w:t xml:space="preserve"> a patient has a bacterial infection.</w:t>
            </w:r>
          </w:p>
          <w:p w14:paraId="74CCB278" w14:textId="110F26C5" w:rsidR="00C7388B" w:rsidRDefault="00C7388B" w:rsidP="00C7388B">
            <w:pPr>
              <w:pStyle w:val="ListBullet"/>
              <w:spacing w:line="360" w:lineRule="auto"/>
              <w:ind w:left="0" w:firstLine="0"/>
            </w:pPr>
            <w:r>
              <w:t>[</w:t>
            </w:r>
            <w:hyperlink w:anchor="_top" w:history="1">
              <w:r w:rsidRPr="00C7388B">
                <w:rPr>
                  <w:rStyle w:val="Hyperlink"/>
                </w:rPr>
                <w:t>back to top</w:t>
              </w:r>
            </w:hyperlink>
            <w:r>
              <w:t>]</w:t>
            </w:r>
          </w:p>
          <w:p w14:paraId="3E300FDC" w14:textId="60876BDA" w:rsidR="00E87268" w:rsidRDefault="00E87268" w:rsidP="00E87268">
            <w:pPr>
              <w:pStyle w:val="ListBullet"/>
              <w:spacing w:line="360" w:lineRule="auto"/>
              <w:ind w:left="360" w:firstLine="0"/>
            </w:pPr>
          </w:p>
        </w:tc>
      </w:tr>
      <w:tr w:rsidR="00975F83" w14:paraId="7845DCFB" w14:textId="77777777" w:rsidTr="00BA308E">
        <w:tc>
          <w:tcPr>
            <w:tcW w:w="10912" w:type="dxa"/>
            <w:tcMar>
              <w:top w:w="0" w:type="dxa"/>
              <w:left w:w="108" w:type="dxa"/>
              <w:bottom w:w="0" w:type="dxa"/>
              <w:right w:w="108" w:type="dxa"/>
            </w:tcMar>
            <w:hideMark/>
          </w:tcPr>
          <w:p w14:paraId="4425C6BB" w14:textId="1ABB0C0C" w:rsidR="00975F83" w:rsidRDefault="00975F83">
            <w:pPr>
              <w:spacing w:line="360" w:lineRule="auto"/>
            </w:pPr>
          </w:p>
        </w:tc>
      </w:tr>
      <w:tr w:rsidR="00975F83" w14:paraId="241E4337" w14:textId="77777777" w:rsidTr="00BA308E">
        <w:tc>
          <w:tcPr>
            <w:tcW w:w="10912" w:type="dxa"/>
            <w:tcMar>
              <w:top w:w="0" w:type="dxa"/>
              <w:left w:w="108" w:type="dxa"/>
              <w:bottom w:w="0" w:type="dxa"/>
              <w:right w:w="108" w:type="dxa"/>
            </w:tcMar>
            <w:hideMark/>
          </w:tcPr>
          <w:p w14:paraId="2B3B7C5A" w14:textId="77777777" w:rsidR="00975F83" w:rsidRDefault="00975F83"/>
        </w:tc>
      </w:tr>
      <w:tr w:rsidR="00975F83" w14:paraId="42AD2925" w14:textId="77777777" w:rsidTr="00BA308E">
        <w:tc>
          <w:tcPr>
            <w:tcW w:w="10912" w:type="dxa"/>
            <w:tcMar>
              <w:top w:w="0" w:type="dxa"/>
              <w:left w:w="108" w:type="dxa"/>
              <w:bottom w:w="0" w:type="dxa"/>
              <w:right w:w="108" w:type="dxa"/>
            </w:tcMar>
            <w:hideMark/>
          </w:tcPr>
          <w:p w14:paraId="38056980" w14:textId="77777777" w:rsidR="00975F83" w:rsidRDefault="007018A3">
            <w:pPr>
              <w:spacing w:line="360" w:lineRule="auto"/>
            </w:pPr>
            <w:r>
              <w:t> </w:t>
            </w:r>
          </w:p>
        </w:tc>
      </w:tr>
      <w:tr w:rsidR="00975F83" w14:paraId="71C8374D" w14:textId="77777777" w:rsidTr="00BA308E">
        <w:tc>
          <w:tcPr>
            <w:tcW w:w="10912" w:type="dxa"/>
            <w:tcMar>
              <w:top w:w="0" w:type="dxa"/>
              <w:left w:w="108" w:type="dxa"/>
              <w:bottom w:w="0" w:type="dxa"/>
              <w:right w:w="108" w:type="dxa"/>
            </w:tcMar>
            <w:hideMark/>
          </w:tcPr>
          <w:p w14:paraId="08103B86" w14:textId="77777777" w:rsidR="00975F83" w:rsidRDefault="007018A3">
            <w:pPr>
              <w:spacing w:line="360" w:lineRule="auto"/>
            </w:pPr>
            <w:r>
              <w:rPr>
                <w:b/>
                <w:bCs/>
              </w:rPr>
              <w:t>+++++++++++++++</w:t>
            </w:r>
          </w:p>
        </w:tc>
      </w:tr>
      <w:tr w:rsidR="00975F83" w14:paraId="48253710" w14:textId="77777777" w:rsidTr="00BA308E">
        <w:tc>
          <w:tcPr>
            <w:tcW w:w="10912" w:type="dxa"/>
            <w:tcMar>
              <w:top w:w="0" w:type="dxa"/>
              <w:left w:w="108" w:type="dxa"/>
              <w:bottom w:w="0" w:type="dxa"/>
              <w:right w:w="108" w:type="dxa"/>
            </w:tcMar>
            <w:hideMark/>
          </w:tcPr>
          <w:p w14:paraId="28FE8AF2" w14:textId="77777777" w:rsidR="00975F83" w:rsidRDefault="007018A3">
            <w:pPr>
              <w:spacing w:line="360" w:lineRule="auto"/>
            </w:pPr>
            <w:r>
              <w:t> </w:t>
            </w:r>
          </w:p>
        </w:tc>
      </w:tr>
      <w:tr w:rsidR="00975F83" w14:paraId="593C1D17" w14:textId="77777777" w:rsidTr="00BA308E">
        <w:tc>
          <w:tcPr>
            <w:tcW w:w="10912" w:type="dxa"/>
            <w:shd w:val="clear" w:color="auto" w:fill="FFFF00"/>
            <w:tcMar>
              <w:top w:w="0" w:type="dxa"/>
              <w:left w:w="108" w:type="dxa"/>
              <w:bottom w:w="0" w:type="dxa"/>
              <w:right w:w="108" w:type="dxa"/>
            </w:tcMar>
            <w:hideMark/>
          </w:tcPr>
          <w:p w14:paraId="56BE2FC9" w14:textId="77777777" w:rsidR="00975F83" w:rsidRDefault="007018A3">
            <w:pPr>
              <w:spacing w:line="360" w:lineRule="auto"/>
            </w:pPr>
            <w:bookmarkStart w:id="8" w:name="recempiric"/>
            <w:bookmarkEnd w:id="8"/>
            <w:r>
              <w:rPr>
                <w:b/>
                <w:bCs/>
              </w:rPr>
              <w:t>RECOMMENDATIONS FOR EMPIRIC ANTIMICROBIAL THERAPY</w:t>
            </w:r>
          </w:p>
        </w:tc>
      </w:tr>
    </w:tbl>
    <w:p w14:paraId="7234EAD9" w14:textId="77777777" w:rsidR="00975F83" w:rsidRDefault="007018A3">
      <w:pPr>
        <w:spacing w:line="360" w:lineRule="auto"/>
      </w:pPr>
      <w:r>
        <w:t> </w:t>
      </w:r>
    </w:p>
    <w:tbl>
      <w:tblPr>
        <w:tblW w:w="14999" w:type="dxa"/>
        <w:tblCellMar>
          <w:left w:w="0" w:type="dxa"/>
          <w:right w:w="0" w:type="dxa"/>
        </w:tblCellMar>
        <w:tblLook w:val="04A0" w:firstRow="1" w:lastRow="0" w:firstColumn="1" w:lastColumn="0" w:noHBand="0" w:noVBand="1"/>
      </w:tblPr>
      <w:tblGrid>
        <w:gridCol w:w="143"/>
        <w:gridCol w:w="5078"/>
        <w:gridCol w:w="184"/>
        <w:gridCol w:w="1453"/>
        <w:gridCol w:w="678"/>
        <w:gridCol w:w="3120"/>
        <w:gridCol w:w="2344"/>
        <w:gridCol w:w="1857"/>
        <w:gridCol w:w="142"/>
      </w:tblGrid>
      <w:tr w:rsidR="00975F83" w14:paraId="7859E5EB" w14:textId="77777777" w:rsidTr="00BA308E">
        <w:tc>
          <w:tcPr>
            <w:tcW w:w="7536" w:type="dxa"/>
            <w:gridSpan w:val="5"/>
            <w:shd w:val="clear" w:color="auto" w:fill="CCFFFF"/>
            <w:tcMar>
              <w:top w:w="0" w:type="dxa"/>
              <w:left w:w="108" w:type="dxa"/>
              <w:bottom w:w="0" w:type="dxa"/>
              <w:right w:w="108" w:type="dxa"/>
            </w:tcMar>
            <w:hideMark/>
          </w:tcPr>
          <w:p w14:paraId="73226B75" w14:textId="77777777" w:rsidR="00975F83" w:rsidRDefault="007018A3">
            <w:pPr>
              <w:spacing w:line="360" w:lineRule="auto"/>
            </w:pPr>
            <w:bookmarkStart w:id="9" w:name="outptrx"/>
            <w:bookmarkEnd w:id="9"/>
            <w:r>
              <w:rPr>
                <w:b/>
                <w:bCs/>
              </w:rPr>
              <w:t>Outpatient Rx of Community-Acquired Pneumonia</w:t>
            </w:r>
          </w:p>
        </w:tc>
        <w:tc>
          <w:tcPr>
            <w:tcW w:w="5464" w:type="dxa"/>
            <w:gridSpan w:val="2"/>
            <w:shd w:val="clear" w:color="auto" w:fill="CCFFFF"/>
            <w:tcMar>
              <w:top w:w="0" w:type="dxa"/>
              <w:left w:w="108" w:type="dxa"/>
              <w:bottom w:w="0" w:type="dxa"/>
              <w:right w:w="108" w:type="dxa"/>
            </w:tcMar>
            <w:hideMark/>
          </w:tcPr>
          <w:p w14:paraId="0A81659D" w14:textId="77777777" w:rsidR="00975F83" w:rsidRDefault="007018A3">
            <w:pPr>
              <w:spacing w:line="360" w:lineRule="auto"/>
            </w:pPr>
            <w:r>
              <w:t> </w:t>
            </w:r>
          </w:p>
        </w:tc>
        <w:tc>
          <w:tcPr>
            <w:tcW w:w="1999" w:type="dxa"/>
            <w:gridSpan w:val="2"/>
            <w:vAlign w:val="center"/>
            <w:hideMark/>
          </w:tcPr>
          <w:p w14:paraId="2123E020" w14:textId="77777777" w:rsidR="00975F83" w:rsidRDefault="007018A3">
            <w:r>
              <w:t> </w:t>
            </w:r>
          </w:p>
        </w:tc>
      </w:tr>
      <w:tr w:rsidR="00975F83" w14:paraId="59621735" w14:textId="77777777">
        <w:tc>
          <w:tcPr>
            <w:tcW w:w="7536" w:type="dxa"/>
            <w:gridSpan w:val="5"/>
            <w:tcMar>
              <w:top w:w="0" w:type="dxa"/>
              <w:left w:w="108" w:type="dxa"/>
              <w:bottom w:w="0" w:type="dxa"/>
              <w:right w:w="108" w:type="dxa"/>
            </w:tcMar>
            <w:hideMark/>
          </w:tcPr>
          <w:p w14:paraId="2BD64E5A" w14:textId="77777777" w:rsidR="00975F83" w:rsidRDefault="007018A3">
            <w:pPr>
              <w:spacing w:line="360" w:lineRule="auto"/>
            </w:pPr>
            <w:r>
              <w:rPr>
                <w:u w:val="single"/>
              </w:rPr>
              <w:t>No comorbidities</w:t>
            </w:r>
            <w:r>
              <w:t xml:space="preserve"> (chronic heart, lung, liver, or renal disease; diabetes mellitus; alcoholism; malignancies; asplenia; immunosuppressing conditions or use of immunosuppressing drugs; or use of antimicrobials within the previous 3 months)</w:t>
            </w:r>
          </w:p>
        </w:tc>
        <w:tc>
          <w:tcPr>
            <w:tcW w:w="5464" w:type="dxa"/>
            <w:gridSpan w:val="2"/>
            <w:tcMar>
              <w:top w:w="0" w:type="dxa"/>
              <w:left w:w="108" w:type="dxa"/>
              <w:bottom w:w="0" w:type="dxa"/>
              <w:right w:w="108" w:type="dxa"/>
            </w:tcMar>
            <w:hideMark/>
          </w:tcPr>
          <w:p w14:paraId="57888E69" w14:textId="7DFC3BFC"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Amoxicillin 1g</w:t>
            </w:r>
            <w:r w:rsidR="008B63DE">
              <w:t>m</w:t>
            </w:r>
            <w:r>
              <w:t xml:space="preserve"> </w:t>
            </w:r>
            <w:r w:rsidR="008B63DE">
              <w:t>PO</w:t>
            </w:r>
            <w:r>
              <w:t xml:space="preserve"> </w:t>
            </w:r>
            <w:r w:rsidR="008B63DE">
              <w:t>TID</w:t>
            </w:r>
            <w:r>
              <w:t xml:space="preserve"> x 5d            </w:t>
            </w:r>
            <w:r w:rsidRPr="00BA308E">
              <w:rPr>
                <w:b/>
              </w:rPr>
              <w:t>OR</w:t>
            </w:r>
          </w:p>
          <w:p w14:paraId="2CCC496F" w14:textId="796A1077" w:rsidR="00975F83" w:rsidRDefault="007018A3">
            <w:pPr>
              <w:pStyle w:val="ListBullet"/>
              <w:spacing w:line="360" w:lineRule="auto"/>
              <w:rPr>
                <w:rFonts w:ascii="Times New Roman" w:hAnsi="Times New Roman" w:cs="Times New Roman"/>
                <w:sz w:val="14"/>
                <w:szCs w:val="14"/>
              </w:rPr>
            </w:pPr>
            <w:r>
              <w:rPr>
                <w:rFonts w:ascii="Symbol" w:hAnsi="Symbol"/>
              </w:rPr>
              <w:t></w:t>
            </w:r>
            <w:r>
              <w:rPr>
                <w:rFonts w:ascii="Times New Roman" w:hAnsi="Times New Roman" w:cs="Times New Roman"/>
                <w:sz w:val="14"/>
                <w:szCs w:val="14"/>
              </w:rPr>
              <w:t>         </w:t>
            </w:r>
            <w:r>
              <w:t xml:space="preserve">Doxycycline 100mg </w:t>
            </w:r>
            <w:r w:rsidR="008B63DE">
              <w:t>PO</w:t>
            </w:r>
            <w:r>
              <w:t xml:space="preserve"> </w:t>
            </w:r>
            <w:r w:rsidR="008B63DE">
              <w:t>BID</w:t>
            </w:r>
            <w:r>
              <w:t xml:space="preserve"> x 5d </w:t>
            </w:r>
          </w:p>
          <w:p w14:paraId="3429E165" w14:textId="77777777" w:rsidR="00975F83" w:rsidRDefault="007018A3">
            <w:pPr>
              <w:pStyle w:val="Heading2"/>
              <w:spacing w:line="360" w:lineRule="auto"/>
              <w:rPr>
                <w:rFonts w:eastAsia="Times New Roman"/>
              </w:rPr>
            </w:pPr>
            <w:r>
              <w:rPr>
                <w:rFonts w:eastAsia="Times New Roman"/>
              </w:rPr>
              <w:t xml:space="preserve">       (inform patients of 2.8% phototoxicity risk) </w:t>
            </w:r>
          </w:p>
        </w:tc>
        <w:tc>
          <w:tcPr>
            <w:tcW w:w="1999" w:type="dxa"/>
            <w:gridSpan w:val="2"/>
            <w:vAlign w:val="center"/>
            <w:hideMark/>
          </w:tcPr>
          <w:p w14:paraId="45B8B0C4" w14:textId="77777777" w:rsidR="00975F83" w:rsidRDefault="007018A3">
            <w:r>
              <w:t> </w:t>
            </w:r>
          </w:p>
        </w:tc>
      </w:tr>
      <w:tr w:rsidR="00975F83" w14:paraId="7CA9B1D4" w14:textId="77777777">
        <w:tc>
          <w:tcPr>
            <w:tcW w:w="7536" w:type="dxa"/>
            <w:gridSpan w:val="5"/>
            <w:shd w:val="clear" w:color="auto" w:fill="F3F3F3"/>
            <w:tcMar>
              <w:top w:w="0" w:type="dxa"/>
              <w:left w:w="108" w:type="dxa"/>
              <w:bottom w:w="0" w:type="dxa"/>
              <w:right w:w="108" w:type="dxa"/>
            </w:tcMar>
          </w:tcPr>
          <w:p w14:paraId="23213B73" w14:textId="77777777" w:rsidR="00975F83" w:rsidRDefault="007018A3">
            <w:pPr>
              <w:spacing w:line="360" w:lineRule="auto"/>
              <w:rPr>
                <w:u w:val="single"/>
              </w:rPr>
            </w:pPr>
            <w:r>
              <w:rPr>
                <w:u w:val="single"/>
              </w:rPr>
              <w:t>Comorbidities present:</w:t>
            </w:r>
          </w:p>
          <w:p w14:paraId="4CF27388" w14:textId="77777777" w:rsidR="00975F83" w:rsidRDefault="00975F83">
            <w:pPr>
              <w:spacing w:line="360" w:lineRule="auto"/>
              <w:rPr>
                <w:u w:val="single"/>
              </w:rPr>
            </w:pPr>
          </w:p>
          <w:p w14:paraId="0C47108F" w14:textId="77777777" w:rsidR="00975F83" w:rsidRDefault="007018A3">
            <w:pPr>
              <w:spacing w:line="360" w:lineRule="auto"/>
            </w:pPr>
            <w:r>
              <w:t xml:space="preserve">                 Mild penicillin allergy (e.g. urticaria)</w:t>
            </w:r>
          </w:p>
          <w:p w14:paraId="1D5303DC" w14:textId="77777777" w:rsidR="00975F83" w:rsidRDefault="00975F83">
            <w:pPr>
              <w:spacing w:line="360" w:lineRule="auto"/>
            </w:pPr>
          </w:p>
          <w:p w14:paraId="14C7D475" w14:textId="77777777" w:rsidR="00975F83" w:rsidRDefault="007018A3">
            <w:pPr>
              <w:spacing w:line="360" w:lineRule="auto"/>
            </w:pPr>
            <w:r>
              <w:t xml:space="preserve">                 Severe penicillin allergy (e.g. anaphylaxis, severe rash)</w:t>
            </w:r>
          </w:p>
        </w:tc>
        <w:tc>
          <w:tcPr>
            <w:tcW w:w="5464" w:type="dxa"/>
            <w:gridSpan w:val="2"/>
            <w:shd w:val="clear" w:color="auto" w:fill="F3F3F3"/>
            <w:tcMar>
              <w:top w:w="0" w:type="dxa"/>
              <w:left w:w="108" w:type="dxa"/>
              <w:bottom w:w="0" w:type="dxa"/>
              <w:right w:w="108" w:type="dxa"/>
            </w:tcMar>
            <w:hideMark/>
          </w:tcPr>
          <w:p w14:paraId="512E558F" w14:textId="7C5A0E7E"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 xml:space="preserve">Amoxicillin-clavulanate 875/125mg </w:t>
            </w:r>
            <w:r w:rsidR="008B63DE">
              <w:t>PO</w:t>
            </w:r>
            <w:r>
              <w:t xml:space="preserve"> BID x 5d </w:t>
            </w:r>
            <w:r w:rsidRPr="00BA308E">
              <w:rPr>
                <w:b/>
              </w:rPr>
              <w:t>PLUS</w:t>
            </w:r>
            <w:r>
              <w:t xml:space="preserve"> doxycycline 100mg </w:t>
            </w:r>
            <w:r w:rsidR="008B63DE">
              <w:t>PO</w:t>
            </w:r>
            <w:r>
              <w:t xml:space="preserve"> </w:t>
            </w:r>
            <w:r w:rsidR="008B63DE">
              <w:t>BID</w:t>
            </w:r>
            <w:r>
              <w:t xml:space="preserve"> x 5d</w:t>
            </w:r>
            <w:r w:rsidR="008B63DE">
              <w:t xml:space="preserve"> OR</w:t>
            </w:r>
          </w:p>
          <w:p w14:paraId="79952C9B" w14:textId="7E15F19C"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Cef</w:t>
            </w:r>
            <w:r w:rsidR="006E1F30">
              <w:t>urox</w:t>
            </w:r>
            <w:r>
              <w:t xml:space="preserve">ime </w:t>
            </w:r>
            <w:r w:rsidR="006E1F30">
              <w:t>5</w:t>
            </w:r>
            <w:r>
              <w:t xml:space="preserve">00mg </w:t>
            </w:r>
            <w:r w:rsidR="008B63DE">
              <w:t>PO</w:t>
            </w:r>
            <w:r>
              <w:t xml:space="preserve"> BID x 5d </w:t>
            </w:r>
            <w:r w:rsidRPr="00BA308E">
              <w:rPr>
                <w:b/>
              </w:rPr>
              <w:t>PLUS</w:t>
            </w:r>
            <w:r>
              <w:t xml:space="preserve"> doxycycline 100mg </w:t>
            </w:r>
            <w:r w:rsidR="008B63DE">
              <w:t>PO</w:t>
            </w:r>
            <w:r>
              <w:t xml:space="preserve"> </w:t>
            </w:r>
            <w:r w:rsidR="008B63DE">
              <w:t>BID</w:t>
            </w:r>
            <w:r>
              <w:t xml:space="preserve"> x 5d</w:t>
            </w:r>
          </w:p>
          <w:p w14:paraId="6ADD3875" w14:textId="35FFB37E" w:rsidR="00975F83" w:rsidRDefault="007018A3">
            <w:pPr>
              <w:pStyle w:val="ListBullet"/>
              <w:spacing w:line="360" w:lineRule="auto"/>
              <w:rPr>
                <w:rFonts w:ascii="Times New Roman" w:hAnsi="Times New Roman" w:cs="Times New Roman"/>
                <w:sz w:val="14"/>
                <w:szCs w:val="14"/>
              </w:rPr>
            </w:pPr>
            <w:r>
              <w:rPr>
                <w:rFonts w:ascii="Symbol" w:hAnsi="Symbol"/>
              </w:rPr>
              <w:t></w:t>
            </w:r>
            <w:r>
              <w:rPr>
                <w:rFonts w:ascii="Times New Roman" w:hAnsi="Times New Roman" w:cs="Times New Roman"/>
                <w:sz w:val="14"/>
                <w:szCs w:val="14"/>
              </w:rPr>
              <w:t>          </w:t>
            </w:r>
            <w:r>
              <w:t xml:space="preserve">Levofloxacin 750mg </w:t>
            </w:r>
            <w:r w:rsidR="00C610AF">
              <w:t>PO</w:t>
            </w:r>
            <w:r>
              <w:t xml:space="preserve"> </w:t>
            </w:r>
            <w:r w:rsidR="00C610AF">
              <w:t>QD</w:t>
            </w:r>
            <w:r>
              <w:t xml:space="preserve"> x 5d</w:t>
            </w:r>
          </w:p>
        </w:tc>
        <w:tc>
          <w:tcPr>
            <w:tcW w:w="1999" w:type="dxa"/>
            <w:gridSpan w:val="2"/>
            <w:vAlign w:val="center"/>
            <w:hideMark/>
          </w:tcPr>
          <w:p w14:paraId="43CBCDF9" w14:textId="77777777" w:rsidR="00975F83" w:rsidRDefault="007018A3">
            <w:r>
              <w:t> </w:t>
            </w:r>
          </w:p>
        </w:tc>
      </w:tr>
      <w:tr w:rsidR="00975F83" w14:paraId="5CE96954" w14:textId="77777777">
        <w:tc>
          <w:tcPr>
            <w:tcW w:w="13000" w:type="dxa"/>
            <w:gridSpan w:val="7"/>
            <w:tcMar>
              <w:top w:w="0" w:type="dxa"/>
              <w:left w:w="108" w:type="dxa"/>
              <w:bottom w:w="0" w:type="dxa"/>
              <w:right w:w="108" w:type="dxa"/>
            </w:tcMar>
            <w:hideMark/>
          </w:tcPr>
          <w:p w14:paraId="3EA9230E" w14:textId="77777777" w:rsidR="00C7388B" w:rsidRDefault="00C7388B" w:rsidP="00C7388B">
            <w:pPr>
              <w:pStyle w:val="ListBullet"/>
              <w:spacing w:line="360" w:lineRule="auto"/>
              <w:ind w:left="0" w:firstLine="0"/>
            </w:pPr>
            <w:r>
              <w:t>[</w:t>
            </w:r>
            <w:hyperlink w:anchor="_top" w:history="1">
              <w:r w:rsidRPr="00C7388B">
                <w:rPr>
                  <w:rStyle w:val="Hyperlink"/>
                </w:rPr>
                <w:t>back to top</w:t>
              </w:r>
            </w:hyperlink>
            <w:r>
              <w:t>]</w:t>
            </w:r>
          </w:p>
          <w:p w14:paraId="57A51E55" w14:textId="77777777" w:rsidR="00975F83" w:rsidRDefault="007018A3">
            <w:pPr>
              <w:spacing w:line="360" w:lineRule="auto"/>
            </w:pPr>
            <w:r>
              <w:t> </w:t>
            </w:r>
          </w:p>
        </w:tc>
        <w:tc>
          <w:tcPr>
            <w:tcW w:w="1999" w:type="dxa"/>
            <w:gridSpan w:val="2"/>
            <w:vAlign w:val="center"/>
            <w:hideMark/>
          </w:tcPr>
          <w:p w14:paraId="7489936B" w14:textId="77777777" w:rsidR="00975F83" w:rsidRDefault="007018A3">
            <w:r>
              <w:t> </w:t>
            </w:r>
          </w:p>
        </w:tc>
      </w:tr>
      <w:tr w:rsidR="00D22E74" w14:paraId="6415C898" w14:textId="77777777" w:rsidTr="00BA308E">
        <w:tc>
          <w:tcPr>
            <w:tcW w:w="13000" w:type="dxa"/>
            <w:gridSpan w:val="7"/>
            <w:shd w:val="clear" w:color="auto" w:fill="CCFFFF"/>
            <w:tcMar>
              <w:top w:w="0" w:type="dxa"/>
              <w:left w:w="108" w:type="dxa"/>
              <w:bottom w:w="0" w:type="dxa"/>
              <w:right w:w="108" w:type="dxa"/>
            </w:tcMar>
            <w:hideMark/>
          </w:tcPr>
          <w:p w14:paraId="2BC3DBD9" w14:textId="77777777" w:rsidR="00D22E74" w:rsidRDefault="00D22E74">
            <w:pPr>
              <w:spacing w:line="360" w:lineRule="auto"/>
              <w:rPr>
                <w:b/>
                <w:bCs/>
              </w:rPr>
            </w:pPr>
            <w:bookmarkStart w:id="10" w:name="inptcaprx"/>
            <w:bookmarkEnd w:id="10"/>
            <w:r>
              <w:rPr>
                <w:b/>
                <w:bCs/>
              </w:rPr>
              <w:t>Inpatient Rx of Community-Acquired Pneumonia (regardless of severity) AND</w:t>
            </w:r>
          </w:p>
          <w:p w14:paraId="0F667B9E" w14:textId="2E3B430B" w:rsidR="00D22E74" w:rsidRDefault="00D22E74">
            <w:pPr>
              <w:spacing w:line="360" w:lineRule="auto"/>
            </w:pPr>
            <w:r>
              <w:rPr>
                <w:b/>
                <w:bCs/>
              </w:rPr>
              <w:t>Ward-Onset Hospital-Acquired Pneumonia (HAP)</w:t>
            </w:r>
            <w:r>
              <w:t> </w:t>
            </w:r>
          </w:p>
        </w:tc>
        <w:tc>
          <w:tcPr>
            <w:tcW w:w="1999" w:type="dxa"/>
            <w:gridSpan w:val="2"/>
            <w:vAlign w:val="center"/>
            <w:hideMark/>
          </w:tcPr>
          <w:p w14:paraId="69A117AA" w14:textId="77777777" w:rsidR="00D22E74" w:rsidRDefault="00D22E74">
            <w:r>
              <w:t> </w:t>
            </w:r>
          </w:p>
        </w:tc>
      </w:tr>
      <w:tr w:rsidR="00975F83" w14:paraId="3306AE48" w14:textId="77777777">
        <w:tc>
          <w:tcPr>
            <w:tcW w:w="6858" w:type="dxa"/>
            <w:gridSpan w:val="4"/>
            <w:tcMar>
              <w:top w:w="0" w:type="dxa"/>
              <w:left w:w="108" w:type="dxa"/>
              <w:bottom w:w="0" w:type="dxa"/>
              <w:right w:w="108" w:type="dxa"/>
            </w:tcMar>
            <w:hideMark/>
          </w:tcPr>
          <w:p w14:paraId="32BD6861" w14:textId="77777777" w:rsidR="00975F83" w:rsidRDefault="007018A3">
            <w:pPr>
              <w:spacing w:line="360" w:lineRule="auto"/>
              <w:rPr>
                <w:u w:val="single"/>
              </w:rPr>
            </w:pPr>
            <w:r>
              <w:rPr>
                <w:u w:val="single"/>
              </w:rPr>
              <w:t>EMPIRIC THERAPY:</w:t>
            </w:r>
          </w:p>
          <w:p w14:paraId="275A2011" w14:textId="77777777" w:rsidR="00975F83" w:rsidRDefault="007018A3">
            <w:pPr>
              <w:spacing w:line="360" w:lineRule="auto"/>
            </w:pPr>
            <w:r>
              <w:t>Standard regimen (no risk factors):</w:t>
            </w:r>
          </w:p>
          <w:p w14:paraId="478CE2F3" w14:textId="5054D03F" w:rsidR="00975F83" w:rsidRDefault="007018A3">
            <w:pPr>
              <w:pStyle w:val="ListBullet"/>
              <w:spacing w:line="360" w:lineRule="auto"/>
            </w:pPr>
            <w:r>
              <w:t>Severe penicillin allergy (e.g.</w:t>
            </w:r>
            <w:r w:rsidR="00FD2369">
              <w:t>,</w:t>
            </w:r>
            <w:r>
              <w:t xml:space="preserve"> anaphylaxis, severe rash)</w:t>
            </w:r>
          </w:p>
          <w:p w14:paraId="02EB55A7" w14:textId="77777777" w:rsidR="00975F83" w:rsidRDefault="007018A3">
            <w:pPr>
              <w:pStyle w:val="ListBullet"/>
              <w:spacing w:line="360" w:lineRule="auto"/>
            </w:pPr>
            <w:r>
              <w:t>--------------------------------------------------------------------------------------------------</w:t>
            </w:r>
          </w:p>
          <w:p w14:paraId="1941A530" w14:textId="77777777" w:rsidR="00975F83" w:rsidRDefault="007018A3">
            <w:pPr>
              <w:pStyle w:val="ListBullet"/>
              <w:spacing w:line="360" w:lineRule="auto"/>
              <w:rPr>
                <w:u w:val="single"/>
              </w:rPr>
            </w:pPr>
            <w:r>
              <w:rPr>
                <w:u w:val="single"/>
              </w:rPr>
              <w:t>Considerations for adding vancomycin:</w:t>
            </w:r>
          </w:p>
          <w:p w14:paraId="066ADACA" w14:textId="079B6D39"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rsidR="006E1F30">
              <w:t>Is</w:t>
            </w:r>
            <w:r>
              <w:t>olation of MRSA from respiratory culture</w:t>
            </w:r>
            <w:r w:rsidR="006E1F30">
              <w:t>/nares within past year</w:t>
            </w:r>
          </w:p>
          <w:p w14:paraId="4C583247"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Severe disease (see major/minor criteria above)</w:t>
            </w:r>
          </w:p>
          <w:p w14:paraId="168C6BDD" w14:textId="77777777" w:rsidR="00F870BA" w:rsidRDefault="007018A3">
            <w:pPr>
              <w:pStyle w:val="ListBullet"/>
              <w:spacing w:line="360" w:lineRule="auto"/>
            </w:pPr>
            <w:r>
              <w:t xml:space="preserve">PLEASE OBTAIN RESPIRATORY CULTURES TO ASSIST IN </w:t>
            </w:r>
          </w:p>
          <w:p w14:paraId="6E8D9ECA" w14:textId="7008A41A" w:rsidR="00975F83" w:rsidRDefault="007018A3">
            <w:pPr>
              <w:pStyle w:val="ListBullet"/>
              <w:spacing w:line="360" w:lineRule="auto"/>
            </w:pPr>
            <w:r>
              <w:t>DE-ESCALATION</w:t>
            </w:r>
          </w:p>
          <w:p w14:paraId="4A1192C9" w14:textId="77777777" w:rsidR="00975F83" w:rsidRDefault="007018A3">
            <w:pPr>
              <w:pStyle w:val="ListBullet"/>
              <w:spacing w:line="360" w:lineRule="auto"/>
            </w:pPr>
            <w:r>
              <w:t>--------------------------------------------------------------------------------------------------</w:t>
            </w:r>
          </w:p>
          <w:p w14:paraId="1F38F5F9" w14:textId="77777777" w:rsidR="00975F83" w:rsidRDefault="007018A3">
            <w:pPr>
              <w:pStyle w:val="ListBullet"/>
              <w:spacing w:line="360" w:lineRule="auto"/>
              <w:rPr>
                <w:u w:val="single"/>
              </w:rPr>
            </w:pPr>
            <w:r>
              <w:rPr>
                <w:u w:val="single"/>
              </w:rPr>
              <w:t>Considerations for broadened Gram-negative coverage:</w:t>
            </w:r>
          </w:p>
          <w:p w14:paraId="674119D6" w14:textId="46254D65" w:rsidR="00975F83" w:rsidRDefault="007018A3">
            <w:pPr>
              <w:pStyle w:val="ListBullet"/>
              <w:spacing w:line="360" w:lineRule="auto"/>
            </w:pPr>
            <w:r>
              <w:rPr>
                <w:rFonts w:ascii="Symbol" w:hAnsi="Symbol"/>
              </w:rPr>
              <w:t></w:t>
            </w:r>
            <w:r>
              <w:rPr>
                <w:rFonts w:ascii="Times New Roman" w:hAnsi="Times New Roman" w:cs="Times New Roman"/>
                <w:sz w:val="14"/>
                <w:szCs w:val="14"/>
              </w:rPr>
              <w:t>         </w:t>
            </w:r>
            <w:r w:rsidR="006E1F30">
              <w:t>Is</w:t>
            </w:r>
            <w:r>
              <w:t>olation of non-</w:t>
            </w:r>
            <w:r>
              <w:rPr>
                <w:i/>
              </w:rPr>
              <w:t xml:space="preserve">Pseudomonas </w:t>
            </w:r>
            <w:r>
              <w:t>ceftriaxone-resistant</w:t>
            </w:r>
            <w:r w:rsidR="001D78BF">
              <w:t>, but carbapenem-susceptible,</w:t>
            </w:r>
            <w:r>
              <w:t xml:space="preserve"> Gram-negative rods from respiratory cultures</w:t>
            </w:r>
            <w:r w:rsidR="006E1F30">
              <w:t xml:space="preserve"> within past year</w:t>
            </w:r>
          </w:p>
          <w:p w14:paraId="4789126A" w14:textId="411AE4F1" w:rsidR="00975F83" w:rsidRDefault="007018A3">
            <w:pPr>
              <w:pStyle w:val="ListBullet"/>
              <w:spacing w:line="360" w:lineRule="auto"/>
            </w:pPr>
            <w:r>
              <w:rPr>
                <w:rFonts w:ascii="Symbol" w:hAnsi="Symbol"/>
              </w:rPr>
              <w:t></w:t>
            </w:r>
            <w:r>
              <w:rPr>
                <w:rFonts w:ascii="Times New Roman" w:hAnsi="Times New Roman" w:cs="Times New Roman"/>
                <w:sz w:val="14"/>
                <w:szCs w:val="14"/>
              </w:rPr>
              <w:t>         </w:t>
            </w:r>
            <w:r w:rsidR="006E1F30">
              <w:t>I</w:t>
            </w:r>
            <w:r>
              <w:t xml:space="preserve">solation of </w:t>
            </w:r>
            <w:r>
              <w:rPr>
                <w:i/>
              </w:rPr>
              <w:t xml:space="preserve">Pseudomonas </w:t>
            </w:r>
            <w:r>
              <w:t>from respiratory cultures</w:t>
            </w:r>
            <w:r w:rsidR="006E1F30">
              <w:t xml:space="preserve"> within past year</w:t>
            </w:r>
            <w:r>
              <w:t xml:space="preserve"> (choose agent based on susceptibilities) OR receipt of broad-spectrum Gram-negative therapy in the past 90 days OR residence in skilled nursing facility</w:t>
            </w:r>
          </w:p>
          <w:p w14:paraId="0CBC2511" w14:textId="77777777" w:rsidR="000D6EEC" w:rsidRDefault="007018A3">
            <w:pPr>
              <w:pStyle w:val="ListBullet"/>
              <w:spacing w:line="360" w:lineRule="auto"/>
            </w:pPr>
            <w:r>
              <w:t xml:space="preserve">PLEASE OBTAIN RESPIRATORY CULTURES TO ASSIST IN </w:t>
            </w:r>
          </w:p>
          <w:p w14:paraId="70944705" w14:textId="1F1F3EE2" w:rsidR="00975F83" w:rsidRDefault="007018A3">
            <w:pPr>
              <w:pStyle w:val="ListBullet"/>
              <w:spacing w:line="360" w:lineRule="auto"/>
            </w:pPr>
            <w:r>
              <w:t>DE-ESCALATION</w:t>
            </w:r>
          </w:p>
          <w:p w14:paraId="037574D8" w14:textId="77777777" w:rsidR="00975F83" w:rsidRDefault="007018A3">
            <w:pPr>
              <w:pStyle w:val="ListBullet"/>
              <w:spacing w:line="360" w:lineRule="auto"/>
            </w:pPr>
            <w:r>
              <w:t>--------------------------------------------------------------------------------------------------</w:t>
            </w:r>
          </w:p>
          <w:p w14:paraId="4C1036D8" w14:textId="77777777" w:rsidR="00975F83" w:rsidRDefault="007018A3">
            <w:pPr>
              <w:pStyle w:val="ListBullet"/>
              <w:spacing w:line="360" w:lineRule="auto"/>
              <w:rPr>
                <w:u w:val="single"/>
              </w:rPr>
            </w:pPr>
            <w:r>
              <w:rPr>
                <w:u w:val="single"/>
              </w:rPr>
              <w:t>Concern for empyema or lung abscess:</w:t>
            </w:r>
          </w:p>
          <w:p w14:paraId="2514D509"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Low concern for Gram-negative resistance</w:t>
            </w:r>
          </w:p>
          <w:p w14:paraId="2B3D8892"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High concern for Gram-negative resistance (PLEASE OBTAIN RESPIRATORY CULTURES TO ASSIST IN DE-ESCALATION)</w:t>
            </w:r>
          </w:p>
        </w:tc>
        <w:tc>
          <w:tcPr>
            <w:tcW w:w="6142" w:type="dxa"/>
            <w:gridSpan w:val="3"/>
            <w:tcMar>
              <w:top w:w="0" w:type="dxa"/>
              <w:left w:w="108" w:type="dxa"/>
              <w:bottom w:w="0" w:type="dxa"/>
              <w:right w:w="108" w:type="dxa"/>
            </w:tcMar>
          </w:tcPr>
          <w:p w14:paraId="72AD1BC2" w14:textId="77777777" w:rsidR="00975F83" w:rsidRDefault="00975F83">
            <w:pPr>
              <w:spacing w:line="360" w:lineRule="auto"/>
            </w:pPr>
          </w:p>
          <w:p w14:paraId="760ECFB1" w14:textId="2AE2DA8B" w:rsidR="00975F83" w:rsidRDefault="007018A3">
            <w:pPr>
              <w:spacing w:line="360" w:lineRule="auto"/>
            </w:pPr>
            <w:r>
              <w:rPr>
                <w:rFonts w:ascii="Symbol" w:hAnsi="Symbol"/>
              </w:rPr>
              <w:t></w:t>
            </w:r>
            <w:r>
              <w:rPr>
                <w:rFonts w:ascii="Times New Roman" w:hAnsi="Times New Roman" w:cs="Times New Roman"/>
                <w:sz w:val="14"/>
                <w:szCs w:val="14"/>
              </w:rPr>
              <w:t>           </w:t>
            </w:r>
            <w:r>
              <w:t>Ceftriaxone 1gm IV q24h AND azithromycin 500mg IV q 24h</w:t>
            </w:r>
          </w:p>
          <w:p w14:paraId="3142C0FF" w14:textId="5BE6DD7D" w:rsidR="00975F83" w:rsidRDefault="007018A3">
            <w:pPr>
              <w:spacing w:line="360" w:lineRule="auto"/>
            </w:pPr>
            <w:r>
              <w:rPr>
                <w:rFonts w:ascii="Symbol" w:hAnsi="Symbol"/>
              </w:rPr>
              <w:t></w:t>
            </w:r>
            <w:r>
              <w:rPr>
                <w:rFonts w:ascii="Times New Roman" w:hAnsi="Times New Roman" w:cs="Times New Roman"/>
                <w:sz w:val="14"/>
                <w:szCs w:val="14"/>
              </w:rPr>
              <w:t xml:space="preserve">            </w:t>
            </w:r>
            <w:r>
              <w:t xml:space="preserve">Levofloxacin 750mg </w:t>
            </w:r>
            <w:r w:rsidR="008B63DE">
              <w:t xml:space="preserve">IV/PO </w:t>
            </w:r>
            <w:r>
              <w:t>q 24h</w:t>
            </w:r>
            <w:r w:rsidR="006E1F30">
              <w:t xml:space="preserve"> (non-severe disease only)</w:t>
            </w:r>
          </w:p>
          <w:p w14:paraId="68F2CEAD" w14:textId="77777777" w:rsidR="00975F83" w:rsidRDefault="00975F83">
            <w:pPr>
              <w:spacing w:line="360" w:lineRule="auto"/>
            </w:pPr>
          </w:p>
          <w:p w14:paraId="45EFAD19" w14:textId="77777777" w:rsidR="00975F83" w:rsidRDefault="00975F83">
            <w:pPr>
              <w:spacing w:line="360" w:lineRule="auto"/>
            </w:pPr>
          </w:p>
          <w:p w14:paraId="16D0614A" w14:textId="38B7C26B" w:rsidR="00975F83" w:rsidRDefault="007018A3">
            <w:pPr>
              <w:spacing w:line="360" w:lineRule="auto"/>
            </w:pPr>
            <w:r>
              <w:rPr>
                <w:rFonts w:ascii="Symbol" w:hAnsi="Symbol"/>
              </w:rPr>
              <w:t></w:t>
            </w:r>
            <w:r>
              <w:rPr>
                <w:rFonts w:ascii="Times New Roman" w:hAnsi="Times New Roman" w:cs="Times New Roman"/>
                <w:sz w:val="14"/>
                <w:szCs w:val="14"/>
              </w:rPr>
              <w:t>          </w:t>
            </w:r>
            <w:r>
              <w:t>Vancomycin 15mg/kg IV q12h (pharmacy adjusts dose)</w:t>
            </w:r>
          </w:p>
          <w:p w14:paraId="7CAA5849" w14:textId="56A8AF50" w:rsidR="00137FE0" w:rsidRDefault="00137FE0">
            <w:pPr>
              <w:spacing w:line="360" w:lineRule="auto"/>
            </w:pPr>
          </w:p>
          <w:p w14:paraId="237171FC" w14:textId="0FF4B9D3" w:rsidR="00137FE0" w:rsidRDefault="00137FE0">
            <w:pPr>
              <w:spacing w:line="360" w:lineRule="auto"/>
            </w:pPr>
          </w:p>
          <w:p w14:paraId="3A899763" w14:textId="77777777" w:rsidR="00137FE0" w:rsidRDefault="00137FE0">
            <w:pPr>
              <w:spacing w:line="360" w:lineRule="auto"/>
            </w:pPr>
          </w:p>
          <w:p w14:paraId="5331191E" w14:textId="77777777" w:rsidR="00975F83" w:rsidRDefault="00975F83">
            <w:pPr>
              <w:spacing w:line="360" w:lineRule="auto"/>
            </w:pPr>
          </w:p>
          <w:p w14:paraId="1D9D6772" w14:textId="77777777" w:rsidR="00975F83" w:rsidRDefault="00975F83">
            <w:pPr>
              <w:spacing w:line="360" w:lineRule="auto"/>
            </w:pPr>
          </w:p>
          <w:p w14:paraId="21B8B743" w14:textId="77777777" w:rsidR="00975F83" w:rsidRDefault="007018A3">
            <w:pPr>
              <w:spacing w:line="360" w:lineRule="auto"/>
            </w:pPr>
            <w:r>
              <w:t>IN LIEU OF CEFTRIAXONE</w:t>
            </w:r>
          </w:p>
          <w:p w14:paraId="465B4601" w14:textId="42CBD9D4" w:rsidR="00975F83" w:rsidRDefault="007018A3">
            <w:pPr>
              <w:spacing w:line="360" w:lineRule="auto"/>
            </w:pPr>
            <w:r>
              <w:rPr>
                <w:rFonts w:ascii="Symbol" w:hAnsi="Symbol"/>
              </w:rPr>
              <w:t></w:t>
            </w:r>
            <w:r>
              <w:rPr>
                <w:rFonts w:ascii="Times New Roman" w:hAnsi="Times New Roman" w:cs="Times New Roman"/>
                <w:sz w:val="14"/>
                <w:szCs w:val="14"/>
              </w:rPr>
              <w:t>           </w:t>
            </w:r>
            <w:r>
              <w:t>Ertapenem 1g</w:t>
            </w:r>
            <w:r w:rsidR="00F870BA">
              <w:t>m</w:t>
            </w:r>
            <w:r>
              <w:t xml:space="preserve"> </w:t>
            </w:r>
            <w:r w:rsidR="00F870BA">
              <w:t xml:space="preserve">IV </w:t>
            </w:r>
            <w:r>
              <w:t>q24h</w:t>
            </w:r>
          </w:p>
          <w:p w14:paraId="369964D6" w14:textId="77777777" w:rsidR="00975F83" w:rsidRDefault="00975F83">
            <w:pPr>
              <w:spacing w:line="360" w:lineRule="auto"/>
            </w:pPr>
          </w:p>
          <w:p w14:paraId="35BE42BB" w14:textId="77777777" w:rsidR="00975F83" w:rsidRDefault="007018A3">
            <w:pPr>
              <w:spacing w:line="360" w:lineRule="auto"/>
            </w:pPr>
            <w:r>
              <w:rPr>
                <w:rFonts w:ascii="Symbol" w:hAnsi="Symbol"/>
              </w:rPr>
              <w:t></w:t>
            </w:r>
            <w:r>
              <w:rPr>
                <w:rFonts w:ascii="Times New Roman" w:hAnsi="Times New Roman" w:cs="Times New Roman"/>
                <w:sz w:val="14"/>
                <w:szCs w:val="14"/>
              </w:rPr>
              <w:t xml:space="preserve">            </w:t>
            </w:r>
            <w:r>
              <w:t>Cefepime 2g IV q8h</w:t>
            </w:r>
          </w:p>
          <w:p w14:paraId="5F12C35E" w14:textId="77777777" w:rsidR="00975F83" w:rsidRDefault="007018A3">
            <w:pPr>
              <w:spacing w:line="360" w:lineRule="auto"/>
            </w:pPr>
            <w:r>
              <w:rPr>
                <w:rFonts w:ascii="Symbol" w:hAnsi="Symbol"/>
              </w:rPr>
              <w:t></w:t>
            </w:r>
            <w:r>
              <w:rPr>
                <w:rFonts w:ascii="Times New Roman" w:hAnsi="Times New Roman" w:cs="Times New Roman"/>
                <w:sz w:val="14"/>
                <w:szCs w:val="14"/>
              </w:rPr>
              <w:t xml:space="preserve">            </w:t>
            </w:r>
            <w:r>
              <w:t>Piperacillin tazobactam 4.5gm IV q6h</w:t>
            </w:r>
          </w:p>
          <w:p w14:paraId="6DDDD944" w14:textId="3FCDCD43" w:rsidR="00975F83" w:rsidRDefault="007018A3">
            <w:pPr>
              <w:spacing w:line="360" w:lineRule="auto"/>
            </w:pPr>
            <w:r>
              <w:rPr>
                <w:rFonts w:ascii="Symbol" w:hAnsi="Symbol"/>
              </w:rPr>
              <w:t></w:t>
            </w:r>
            <w:r>
              <w:rPr>
                <w:rFonts w:ascii="Times New Roman" w:hAnsi="Times New Roman" w:cs="Times New Roman"/>
                <w:sz w:val="14"/>
                <w:szCs w:val="14"/>
              </w:rPr>
              <w:t xml:space="preserve">            </w:t>
            </w:r>
            <w:r>
              <w:t>Meropenem 1g q8h</w:t>
            </w:r>
          </w:p>
          <w:p w14:paraId="72E50A06" w14:textId="06B57CF5" w:rsidR="00975F83" w:rsidRDefault="006E1F30">
            <w:pPr>
              <w:spacing w:line="360" w:lineRule="auto"/>
            </w:pPr>
            <w:r>
              <w:t xml:space="preserve">IF SEVERE DISEASE ADD: </w:t>
            </w:r>
          </w:p>
          <w:p w14:paraId="31A0151C" w14:textId="421D8461" w:rsidR="006E1F30" w:rsidRDefault="006E1F30">
            <w:pPr>
              <w:spacing w:line="360" w:lineRule="auto"/>
            </w:pPr>
            <w:r>
              <w:rPr>
                <w:rFonts w:ascii="Symbol" w:hAnsi="Symbol"/>
              </w:rPr>
              <w:t></w:t>
            </w:r>
            <w:r>
              <w:rPr>
                <w:rFonts w:ascii="Times New Roman" w:hAnsi="Times New Roman" w:cs="Times New Roman"/>
                <w:sz w:val="14"/>
                <w:szCs w:val="14"/>
              </w:rPr>
              <w:t xml:space="preserve">            </w:t>
            </w:r>
            <w:r w:rsidR="000B63F7">
              <w:t>Amikacin</w:t>
            </w:r>
            <w:r>
              <w:t xml:space="preserve"> </w:t>
            </w:r>
            <w:r w:rsidR="000B63F7">
              <w:rPr>
                <w:lang w:val="pt-BR"/>
              </w:rPr>
              <w:t>7.5 mg/kg IV q12h (pharmacy adjusts dose)</w:t>
            </w:r>
          </w:p>
          <w:p w14:paraId="57BE7FFD" w14:textId="04F7525C" w:rsidR="00975F83" w:rsidRDefault="000D6EEC" w:rsidP="00BA308E">
            <w:pPr>
              <w:pStyle w:val="ListParagraph"/>
              <w:numPr>
                <w:ilvl w:val="0"/>
                <w:numId w:val="10"/>
              </w:numPr>
              <w:spacing w:line="360" w:lineRule="auto"/>
            </w:pPr>
            <w:r>
              <w:t>Goal trough &lt;5 ug/mL</w:t>
            </w:r>
          </w:p>
          <w:p w14:paraId="4240F7D5" w14:textId="77777777" w:rsidR="00975F83" w:rsidRDefault="00975F83">
            <w:pPr>
              <w:spacing w:line="360" w:lineRule="auto"/>
            </w:pPr>
          </w:p>
          <w:p w14:paraId="651BC8B1" w14:textId="77777777" w:rsidR="00975F83" w:rsidRDefault="007018A3">
            <w:pPr>
              <w:spacing w:line="360" w:lineRule="auto"/>
            </w:pPr>
            <w:r>
              <w:t>IN LIEU OF CEFTRIAXONE + AZITHROMYCIN</w:t>
            </w:r>
          </w:p>
          <w:p w14:paraId="75EF2B94" w14:textId="27532A9A" w:rsidR="00975F83" w:rsidRDefault="007018A3">
            <w:pPr>
              <w:spacing w:line="360" w:lineRule="auto"/>
            </w:pPr>
            <w:r>
              <w:rPr>
                <w:rFonts w:ascii="Symbol" w:hAnsi="Symbol"/>
              </w:rPr>
              <w:t></w:t>
            </w:r>
            <w:r>
              <w:rPr>
                <w:rFonts w:ascii="Times New Roman" w:hAnsi="Times New Roman" w:cs="Times New Roman"/>
                <w:sz w:val="14"/>
                <w:szCs w:val="14"/>
              </w:rPr>
              <w:t xml:space="preserve">            </w:t>
            </w:r>
            <w:r>
              <w:t xml:space="preserve">Ampicillin-sulbactam 3gm </w:t>
            </w:r>
            <w:r w:rsidR="000D6EEC">
              <w:t xml:space="preserve">IV </w:t>
            </w:r>
            <w:r>
              <w:t>q6h</w:t>
            </w:r>
          </w:p>
          <w:p w14:paraId="7367C193" w14:textId="77777777" w:rsidR="00975F83" w:rsidRDefault="007018A3">
            <w:pPr>
              <w:spacing w:line="360" w:lineRule="auto"/>
            </w:pPr>
            <w:r>
              <w:rPr>
                <w:rFonts w:ascii="Symbol" w:hAnsi="Symbol"/>
              </w:rPr>
              <w:t></w:t>
            </w:r>
            <w:r>
              <w:rPr>
                <w:rFonts w:ascii="Times New Roman" w:hAnsi="Times New Roman" w:cs="Times New Roman"/>
                <w:sz w:val="14"/>
                <w:szCs w:val="14"/>
              </w:rPr>
              <w:t xml:space="preserve">            </w:t>
            </w:r>
            <w:r>
              <w:t xml:space="preserve">Piperacillin-tazobactam 4.5gm IV q8h OR </w:t>
            </w:r>
          </w:p>
          <w:p w14:paraId="6E7A2B7F" w14:textId="0B412AA6" w:rsidR="00975F83" w:rsidRDefault="007018A3">
            <w:pPr>
              <w:spacing w:line="360" w:lineRule="auto"/>
            </w:pPr>
            <w:r>
              <w:t xml:space="preserve">          meropenem 1g</w:t>
            </w:r>
            <w:r w:rsidR="000D6EEC">
              <w:t>m</w:t>
            </w:r>
            <w:r>
              <w:t xml:space="preserve"> IV</w:t>
            </w:r>
            <w:r w:rsidR="00BA308E">
              <w:t xml:space="preserve"> q8h</w:t>
            </w:r>
            <w:r>
              <w:t xml:space="preserve"> </w:t>
            </w:r>
          </w:p>
          <w:p w14:paraId="5FE39428" w14:textId="77777777" w:rsidR="00975F83" w:rsidRDefault="00975F83">
            <w:pPr>
              <w:spacing w:line="360" w:lineRule="auto"/>
            </w:pPr>
          </w:p>
          <w:p w14:paraId="38B7A776" w14:textId="77777777" w:rsidR="00975F83" w:rsidRDefault="00975F83">
            <w:pPr>
              <w:spacing w:line="360" w:lineRule="auto"/>
            </w:pPr>
          </w:p>
        </w:tc>
        <w:tc>
          <w:tcPr>
            <w:tcW w:w="1999" w:type="dxa"/>
            <w:gridSpan w:val="2"/>
            <w:vAlign w:val="center"/>
            <w:hideMark/>
          </w:tcPr>
          <w:p w14:paraId="78A0270A" w14:textId="5E0DDD46" w:rsidR="00975F83" w:rsidRDefault="00975F83"/>
        </w:tc>
      </w:tr>
      <w:tr w:rsidR="00975F83" w14:paraId="0174E497" w14:textId="77777777">
        <w:tc>
          <w:tcPr>
            <w:tcW w:w="13000" w:type="dxa"/>
            <w:gridSpan w:val="7"/>
            <w:tcMar>
              <w:top w:w="0" w:type="dxa"/>
              <w:left w:w="108" w:type="dxa"/>
              <w:bottom w:w="0" w:type="dxa"/>
              <w:right w:w="108" w:type="dxa"/>
            </w:tcMar>
            <w:hideMark/>
          </w:tcPr>
          <w:p w14:paraId="79B29624" w14:textId="77777777" w:rsidR="00C7388B" w:rsidRDefault="00C7388B" w:rsidP="00C7388B">
            <w:pPr>
              <w:pStyle w:val="ListBullet"/>
              <w:spacing w:line="360" w:lineRule="auto"/>
              <w:ind w:left="0" w:firstLine="0"/>
            </w:pPr>
            <w:r>
              <w:t>[</w:t>
            </w:r>
            <w:hyperlink w:anchor="_top" w:history="1">
              <w:r w:rsidRPr="00C7388B">
                <w:rPr>
                  <w:rStyle w:val="Hyperlink"/>
                </w:rPr>
                <w:t>back to top</w:t>
              </w:r>
            </w:hyperlink>
            <w:r>
              <w:t>]</w:t>
            </w:r>
          </w:p>
          <w:p w14:paraId="468493BD" w14:textId="77777777" w:rsidR="00975F83" w:rsidRDefault="007018A3">
            <w:pPr>
              <w:spacing w:line="360" w:lineRule="auto"/>
            </w:pPr>
            <w:r>
              <w:t> </w:t>
            </w:r>
          </w:p>
        </w:tc>
        <w:tc>
          <w:tcPr>
            <w:tcW w:w="1999" w:type="dxa"/>
            <w:gridSpan w:val="2"/>
            <w:vAlign w:val="center"/>
            <w:hideMark/>
          </w:tcPr>
          <w:p w14:paraId="672494FF" w14:textId="77777777" w:rsidR="00975F83" w:rsidRDefault="007018A3">
            <w:r>
              <w:t> </w:t>
            </w:r>
          </w:p>
        </w:tc>
      </w:tr>
      <w:tr w:rsidR="00975F83" w14:paraId="411A191E" w14:textId="77777777">
        <w:tc>
          <w:tcPr>
            <w:tcW w:w="13000" w:type="dxa"/>
            <w:gridSpan w:val="7"/>
            <w:tcMar>
              <w:top w:w="0" w:type="dxa"/>
              <w:left w:w="108" w:type="dxa"/>
              <w:bottom w:w="0" w:type="dxa"/>
              <w:right w:w="108" w:type="dxa"/>
            </w:tcMar>
            <w:hideMark/>
          </w:tcPr>
          <w:p w14:paraId="7C72222F" w14:textId="77777777" w:rsidR="00975F83" w:rsidRDefault="00975F83"/>
        </w:tc>
        <w:tc>
          <w:tcPr>
            <w:tcW w:w="1999" w:type="dxa"/>
            <w:gridSpan w:val="2"/>
            <w:vAlign w:val="center"/>
            <w:hideMark/>
          </w:tcPr>
          <w:p w14:paraId="41966128" w14:textId="77777777" w:rsidR="00975F83" w:rsidRDefault="007018A3">
            <w:r>
              <w:t> </w:t>
            </w:r>
          </w:p>
        </w:tc>
      </w:tr>
      <w:tr w:rsidR="00975F83" w14:paraId="32968898" w14:textId="77777777" w:rsidTr="00BA308E">
        <w:tc>
          <w:tcPr>
            <w:tcW w:w="13000" w:type="dxa"/>
            <w:gridSpan w:val="7"/>
            <w:shd w:val="clear" w:color="auto" w:fill="CCFFFF"/>
            <w:tcMar>
              <w:top w:w="0" w:type="dxa"/>
              <w:left w:w="108" w:type="dxa"/>
              <w:bottom w:w="0" w:type="dxa"/>
              <w:right w:w="108" w:type="dxa"/>
            </w:tcMar>
            <w:hideMark/>
          </w:tcPr>
          <w:p w14:paraId="214268B8" w14:textId="77777777" w:rsidR="00975F83" w:rsidRDefault="007018A3">
            <w:pPr>
              <w:spacing w:line="360" w:lineRule="auto"/>
            </w:pPr>
            <w:bookmarkStart w:id="11" w:name="inpthapvaprx"/>
            <w:bookmarkEnd w:id="11"/>
            <w:r>
              <w:rPr>
                <w:b/>
                <w:bCs/>
              </w:rPr>
              <w:t xml:space="preserve">Inpatient Rx of HAP (ICU patient critically ill due to pneumonia) or Ventilator-Associated Pneumonia (VAP) </w:t>
            </w:r>
          </w:p>
        </w:tc>
        <w:tc>
          <w:tcPr>
            <w:tcW w:w="1999" w:type="dxa"/>
            <w:gridSpan w:val="2"/>
            <w:vAlign w:val="center"/>
            <w:hideMark/>
          </w:tcPr>
          <w:p w14:paraId="0BB82600" w14:textId="77777777" w:rsidR="00975F83" w:rsidRDefault="007018A3">
            <w:r>
              <w:t> </w:t>
            </w:r>
          </w:p>
        </w:tc>
      </w:tr>
      <w:tr w:rsidR="00975F83" w14:paraId="46F4C7ED" w14:textId="77777777">
        <w:tc>
          <w:tcPr>
            <w:tcW w:w="5221" w:type="dxa"/>
            <w:gridSpan w:val="2"/>
            <w:tcMar>
              <w:top w:w="0" w:type="dxa"/>
              <w:left w:w="108" w:type="dxa"/>
              <w:bottom w:w="0" w:type="dxa"/>
              <w:right w:w="108" w:type="dxa"/>
            </w:tcMar>
          </w:tcPr>
          <w:p w14:paraId="54030AB5" w14:textId="77777777" w:rsidR="00975F83" w:rsidRDefault="007018A3">
            <w:pPr>
              <w:spacing w:line="360" w:lineRule="auto"/>
            </w:pPr>
            <w:r>
              <w:t>Patient should meet criteria for severe disease (see major/minor criteria above)</w:t>
            </w:r>
          </w:p>
          <w:p w14:paraId="13BE9347" w14:textId="77777777" w:rsidR="00975F83" w:rsidRDefault="00975F83">
            <w:pPr>
              <w:spacing w:line="360" w:lineRule="auto"/>
            </w:pPr>
          </w:p>
          <w:p w14:paraId="1124D640" w14:textId="77777777" w:rsidR="00975F83" w:rsidRDefault="007018A3">
            <w:pPr>
              <w:spacing w:line="360" w:lineRule="auto"/>
            </w:pPr>
            <w:r>
              <w:t>PLEASE OBTAIN RESPIRATORY CULTURES TO ASSIST IN DE-ESCALATION</w:t>
            </w:r>
          </w:p>
        </w:tc>
        <w:tc>
          <w:tcPr>
            <w:tcW w:w="7779" w:type="dxa"/>
            <w:gridSpan w:val="5"/>
            <w:tcMar>
              <w:top w:w="0" w:type="dxa"/>
              <w:left w:w="108" w:type="dxa"/>
              <w:bottom w:w="0" w:type="dxa"/>
              <w:right w:w="108" w:type="dxa"/>
            </w:tcMar>
            <w:hideMark/>
          </w:tcPr>
          <w:p w14:paraId="4D3C055A" w14:textId="77777777" w:rsidR="00975F83" w:rsidRDefault="007018A3">
            <w:pPr>
              <w:spacing w:line="360" w:lineRule="auto"/>
            </w:pPr>
            <w:r>
              <w:rPr>
                <w:u w:val="single"/>
              </w:rPr>
              <w:t>Standard therapy</w:t>
            </w:r>
            <w:r>
              <w:t xml:space="preserve"> </w:t>
            </w:r>
          </w:p>
          <w:p w14:paraId="12A63F11" w14:textId="77777777" w:rsidR="00975F83" w:rsidRDefault="007018A3">
            <w:pPr>
              <w:spacing w:line="360" w:lineRule="auto"/>
            </w:pPr>
            <w:r>
              <w:t>ONE OF THE FOLLOWING:</w:t>
            </w:r>
          </w:p>
          <w:p w14:paraId="0ECE1BD6" w14:textId="462C2045" w:rsidR="00975F83" w:rsidRDefault="007018A3">
            <w:pPr>
              <w:spacing w:line="360" w:lineRule="auto"/>
            </w:pPr>
            <w:r>
              <w:rPr>
                <w:rFonts w:ascii="Symbol" w:hAnsi="Symbol"/>
              </w:rPr>
              <w:t></w:t>
            </w:r>
            <w:r>
              <w:rPr>
                <w:rFonts w:ascii="Times New Roman" w:hAnsi="Times New Roman" w:cs="Times New Roman"/>
                <w:sz w:val="14"/>
                <w:szCs w:val="14"/>
              </w:rPr>
              <w:t xml:space="preserve">            </w:t>
            </w:r>
            <w:r>
              <w:t>Cefepime 2g</w:t>
            </w:r>
            <w:r w:rsidR="004D443B">
              <w:t>m</w:t>
            </w:r>
            <w:r>
              <w:t xml:space="preserve"> IV q8h</w:t>
            </w:r>
          </w:p>
          <w:p w14:paraId="140E9E1D" w14:textId="7234BA1B" w:rsidR="00975F83" w:rsidRDefault="007018A3">
            <w:pPr>
              <w:spacing w:line="360" w:lineRule="auto"/>
            </w:pPr>
            <w:r>
              <w:rPr>
                <w:rFonts w:ascii="Symbol" w:hAnsi="Symbol"/>
              </w:rPr>
              <w:t></w:t>
            </w:r>
            <w:r>
              <w:rPr>
                <w:rFonts w:ascii="Times New Roman" w:hAnsi="Times New Roman" w:cs="Times New Roman"/>
                <w:sz w:val="14"/>
                <w:szCs w:val="14"/>
              </w:rPr>
              <w:t xml:space="preserve">            </w:t>
            </w:r>
            <w:r>
              <w:t>Piperacillin tazobactam 4.5gm IV q</w:t>
            </w:r>
            <w:r w:rsidR="00BA308E">
              <w:t>8</w:t>
            </w:r>
            <w:r>
              <w:t>h</w:t>
            </w:r>
            <w:r w:rsidR="00BA308E">
              <w:t xml:space="preserve"> (extended infusion)</w:t>
            </w:r>
          </w:p>
          <w:p w14:paraId="0FD468F3" w14:textId="1B9A7BD8" w:rsidR="00975F83" w:rsidRDefault="007018A3">
            <w:pPr>
              <w:spacing w:line="360" w:lineRule="auto"/>
            </w:pPr>
            <w:r>
              <w:rPr>
                <w:rFonts w:ascii="Symbol" w:hAnsi="Symbol"/>
              </w:rPr>
              <w:t></w:t>
            </w:r>
            <w:r>
              <w:rPr>
                <w:rFonts w:ascii="Times New Roman" w:hAnsi="Times New Roman" w:cs="Times New Roman"/>
                <w:sz w:val="14"/>
                <w:szCs w:val="14"/>
              </w:rPr>
              <w:t xml:space="preserve">            </w:t>
            </w:r>
            <w:r>
              <w:t>Meropenem 1g</w:t>
            </w:r>
            <w:r w:rsidR="004D443B">
              <w:t>m IV</w:t>
            </w:r>
            <w:r>
              <w:t xml:space="preserve"> q8h</w:t>
            </w:r>
          </w:p>
          <w:p w14:paraId="62CADE69" w14:textId="6BD49E75" w:rsidR="00975F83" w:rsidRPr="00BA308E" w:rsidRDefault="007018A3">
            <w:pPr>
              <w:spacing w:line="360" w:lineRule="auto"/>
              <w:rPr>
                <w:b/>
              </w:rPr>
            </w:pPr>
            <w:r w:rsidRPr="00BA308E">
              <w:rPr>
                <w:b/>
              </w:rPr>
              <w:t>PLUS</w:t>
            </w:r>
          </w:p>
          <w:p w14:paraId="1BC33B76" w14:textId="00E75AEB" w:rsidR="00975F83" w:rsidRDefault="007018A3">
            <w:pPr>
              <w:pStyle w:val="ListBullet"/>
              <w:spacing w:line="360" w:lineRule="auto"/>
              <w:rPr>
                <w:lang w:val="pt-BR"/>
              </w:rPr>
            </w:pPr>
            <w:r>
              <w:rPr>
                <w:rFonts w:ascii="Symbol" w:hAnsi="Symbol"/>
                <w:lang w:val="pt-BR"/>
              </w:rPr>
              <w:t></w:t>
            </w:r>
            <w:r>
              <w:rPr>
                <w:rFonts w:ascii="Times New Roman" w:hAnsi="Times New Roman" w:cs="Times New Roman"/>
                <w:sz w:val="14"/>
                <w:szCs w:val="14"/>
                <w:lang w:val="pt-BR"/>
              </w:rPr>
              <w:t xml:space="preserve">            </w:t>
            </w:r>
            <w:r>
              <w:rPr>
                <w:lang w:val="pt-BR"/>
              </w:rPr>
              <w:t>Amikacin 7.5 mg/kg IV q12h (pharmacy adjusts dose)</w:t>
            </w:r>
          </w:p>
          <w:p w14:paraId="4697A7DC" w14:textId="0F4F4FB1" w:rsidR="00A9154F" w:rsidRPr="00464EB9" w:rsidRDefault="00464EB9" w:rsidP="00464EB9">
            <w:pPr>
              <w:pStyle w:val="ListParagraph"/>
              <w:numPr>
                <w:ilvl w:val="0"/>
                <w:numId w:val="10"/>
              </w:numPr>
              <w:spacing w:line="360" w:lineRule="auto"/>
            </w:pPr>
            <w:r>
              <w:t>Goal trough &lt;5 ug/mL</w:t>
            </w:r>
          </w:p>
          <w:p w14:paraId="2BCCE520" w14:textId="77777777" w:rsidR="00975F83" w:rsidRPr="00BA308E" w:rsidRDefault="007018A3">
            <w:pPr>
              <w:pStyle w:val="ListBullet"/>
              <w:spacing w:line="360" w:lineRule="auto"/>
              <w:rPr>
                <w:b/>
              </w:rPr>
            </w:pPr>
            <w:r w:rsidRPr="00BA308E">
              <w:rPr>
                <w:b/>
              </w:rPr>
              <w:t>PLUS</w:t>
            </w:r>
          </w:p>
          <w:p w14:paraId="6E7ECC7F" w14:textId="77777777" w:rsidR="00975F83" w:rsidRDefault="007018A3">
            <w:pPr>
              <w:spacing w:line="360" w:lineRule="auto"/>
            </w:pPr>
            <w:r>
              <w:rPr>
                <w:rFonts w:ascii="Symbol" w:hAnsi="Symbol"/>
              </w:rPr>
              <w:t></w:t>
            </w:r>
            <w:r>
              <w:rPr>
                <w:rFonts w:ascii="Times New Roman" w:hAnsi="Times New Roman" w:cs="Times New Roman"/>
                <w:sz w:val="14"/>
                <w:szCs w:val="14"/>
              </w:rPr>
              <w:t>          </w:t>
            </w:r>
            <w:r>
              <w:t>Vancomycin 15mg/kg IV q12h (pharmacy adjusts dose)</w:t>
            </w:r>
          </w:p>
        </w:tc>
        <w:tc>
          <w:tcPr>
            <w:tcW w:w="1999" w:type="dxa"/>
            <w:gridSpan w:val="2"/>
            <w:vAlign w:val="center"/>
            <w:hideMark/>
          </w:tcPr>
          <w:p w14:paraId="1178161B" w14:textId="77777777" w:rsidR="00975F83" w:rsidRDefault="007018A3">
            <w:r>
              <w:t> </w:t>
            </w:r>
          </w:p>
        </w:tc>
      </w:tr>
      <w:tr w:rsidR="00975F83" w14:paraId="305572D2" w14:textId="77777777">
        <w:tc>
          <w:tcPr>
            <w:tcW w:w="13000" w:type="dxa"/>
            <w:gridSpan w:val="7"/>
            <w:tcMar>
              <w:top w:w="0" w:type="dxa"/>
              <w:left w:w="108" w:type="dxa"/>
              <w:bottom w:w="0" w:type="dxa"/>
              <w:right w:w="108" w:type="dxa"/>
            </w:tcMar>
            <w:hideMark/>
          </w:tcPr>
          <w:p w14:paraId="37A698D4" w14:textId="0F15BF72" w:rsidR="00975F83" w:rsidRDefault="00C7388B" w:rsidP="00C7388B">
            <w:pPr>
              <w:pStyle w:val="ListBullet"/>
              <w:spacing w:line="360" w:lineRule="auto"/>
              <w:ind w:left="0" w:firstLine="0"/>
            </w:pPr>
            <w:r>
              <w:t>[</w:t>
            </w:r>
            <w:hyperlink w:anchor="_top" w:history="1">
              <w:r w:rsidRPr="00C7388B">
                <w:rPr>
                  <w:rStyle w:val="Hyperlink"/>
                </w:rPr>
                <w:t>back to top</w:t>
              </w:r>
            </w:hyperlink>
            <w:r>
              <w:t>]</w:t>
            </w:r>
          </w:p>
        </w:tc>
        <w:tc>
          <w:tcPr>
            <w:tcW w:w="1999" w:type="dxa"/>
            <w:gridSpan w:val="2"/>
            <w:vAlign w:val="center"/>
            <w:hideMark/>
          </w:tcPr>
          <w:p w14:paraId="0D41CCAB" w14:textId="77777777" w:rsidR="00975F83" w:rsidRDefault="007018A3">
            <w:r>
              <w:t> </w:t>
            </w:r>
          </w:p>
        </w:tc>
      </w:tr>
      <w:tr w:rsidR="00975F83" w14:paraId="2A9F267A" w14:textId="77777777">
        <w:tc>
          <w:tcPr>
            <w:tcW w:w="13000" w:type="dxa"/>
            <w:gridSpan w:val="7"/>
            <w:tcMar>
              <w:top w:w="0" w:type="dxa"/>
              <w:left w:w="108" w:type="dxa"/>
              <w:bottom w:w="0" w:type="dxa"/>
              <w:right w:w="108" w:type="dxa"/>
            </w:tcMar>
            <w:hideMark/>
          </w:tcPr>
          <w:p w14:paraId="5922ACB1" w14:textId="77777777" w:rsidR="00975F83" w:rsidRDefault="007018A3">
            <w:pPr>
              <w:spacing w:line="360" w:lineRule="auto"/>
            </w:pPr>
            <w:r>
              <w:t> </w:t>
            </w:r>
          </w:p>
          <w:p w14:paraId="2247EA4E" w14:textId="77777777" w:rsidR="00975F83" w:rsidRDefault="007018A3">
            <w:pPr>
              <w:spacing w:line="360" w:lineRule="auto"/>
            </w:pPr>
            <w:r>
              <w:rPr>
                <w:b/>
                <w:bCs/>
              </w:rPr>
              <w:t>+++++++++++++++ </w:t>
            </w:r>
          </w:p>
        </w:tc>
        <w:tc>
          <w:tcPr>
            <w:tcW w:w="1999" w:type="dxa"/>
            <w:gridSpan w:val="2"/>
            <w:vAlign w:val="center"/>
            <w:hideMark/>
          </w:tcPr>
          <w:p w14:paraId="3BF46A4F" w14:textId="77777777" w:rsidR="00975F83" w:rsidRDefault="007018A3">
            <w:r>
              <w:t> </w:t>
            </w:r>
          </w:p>
        </w:tc>
      </w:tr>
      <w:tr w:rsidR="00975F83" w14:paraId="175702D4" w14:textId="77777777" w:rsidTr="00BA308E">
        <w:tc>
          <w:tcPr>
            <w:tcW w:w="143" w:type="dxa"/>
            <w:vAlign w:val="center"/>
            <w:hideMark/>
          </w:tcPr>
          <w:p w14:paraId="3693DEA1" w14:textId="77777777" w:rsidR="00975F83" w:rsidRDefault="007018A3">
            <w:r>
              <w:t> </w:t>
            </w:r>
          </w:p>
        </w:tc>
        <w:tc>
          <w:tcPr>
            <w:tcW w:w="12857" w:type="dxa"/>
            <w:gridSpan w:val="6"/>
            <w:shd w:val="clear" w:color="auto" w:fill="FFFF00"/>
            <w:tcMar>
              <w:top w:w="0" w:type="dxa"/>
              <w:left w:w="108" w:type="dxa"/>
              <w:bottom w:w="0" w:type="dxa"/>
              <w:right w:w="108" w:type="dxa"/>
            </w:tcMar>
            <w:hideMark/>
          </w:tcPr>
          <w:p w14:paraId="61D084D4" w14:textId="77777777" w:rsidR="00975F83" w:rsidRDefault="007018A3">
            <w:pPr>
              <w:spacing w:line="360" w:lineRule="auto"/>
              <w:rPr>
                <w:b/>
                <w:lang w:val="pt-BR"/>
              </w:rPr>
            </w:pPr>
            <w:bookmarkStart w:id="12" w:name="deesc"/>
            <w:bookmarkEnd w:id="12"/>
            <w:r>
              <w:rPr>
                <w:b/>
                <w:lang w:val="pt-BR"/>
              </w:rPr>
              <w:t>RECOMMENDATIONS FOR DE-ESCALATION OF ANTI-MRSA AND BROAD SPECTRUM GRAM-NEGATIVE COVERAGE IN INPATIENT PNEUMONIA MANAGEMENT FOR PATIENTS WHO HAVE CLINICALLY IMPROVED</w:t>
            </w:r>
          </w:p>
          <w:p w14:paraId="178497A7" w14:textId="77777777" w:rsidR="00975F83" w:rsidRDefault="007018A3">
            <w:pPr>
              <w:pStyle w:val="Heading2"/>
              <w:spacing w:line="360" w:lineRule="auto"/>
              <w:rPr>
                <w:rFonts w:eastAsia="Times New Roman"/>
              </w:rPr>
            </w:pPr>
            <w:r>
              <w:rPr>
                <w:rFonts w:eastAsia="Times New Roman"/>
              </w:rPr>
              <w:t>Check culture results, temperature, WBC, CXR, pO2, sputum purulence, hemodynamics, organ function, ability to take oral medication</w:t>
            </w:r>
          </w:p>
        </w:tc>
        <w:tc>
          <w:tcPr>
            <w:tcW w:w="1999" w:type="dxa"/>
            <w:gridSpan w:val="2"/>
            <w:vAlign w:val="center"/>
            <w:hideMark/>
          </w:tcPr>
          <w:p w14:paraId="54BAA4F4" w14:textId="77777777" w:rsidR="00975F83" w:rsidRDefault="007018A3">
            <w:r>
              <w:t> </w:t>
            </w:r>
          </w:p>
        </w:tc>
      </w:tr>
      <w:tr w:rsidR="00975F83" w14:paraId="440E6728" w14:textId="77777777">
        <w:tc>
          <w:tcPr>
            <w:tcW w:w="143" w:type="dxa"/>
            <w:vAlign w:val="center"/>
            <w:hideMark/>
          </w:tcPr>
          <w:p w14:paraId="00143EDC" w14:textId="77777777" w:rsidR="00975F83" w:rsidRDefault="007018A3">
            <w:r>
              <w:t> </w:t>
            </w:r>
          </w:p>
        </w:tc>
        <w:tc>
          <w:tcPr>
            <w:tcW w:w="12857" w:type="dxa"/>
            <w:gridSpan w:val="6"/>
            <w:tcMar>
              <w:top w:w="0" w:type="dxa"/>
              <w:left w:w="108" w:type="dxa"/>
              <w:bottom w:w="0" w:type="dxa"/>
              <w:right w:w="108" w:type="dxa"/>
            </w:tcMar>
            <w:hideMark/>
          </w:tcPr>
          <w:p w14:paraId="23BC281C" w14:textId="77777777" w:rsidR="00975F83" w:rsidRDefault="00975F83"/>
        </w:tc>
        <w:tc>
          <w:tcPr>
            <w:tcW w:w="1999" w:type="dxa"/>
            <w:gridSpan w:val="2"/>
            <w:vAlign w:val="center"/>
            <w:hideMark/>
          </w:tcPr>
          <w:p w14:paraId="045B77C5" w14:textId="77777777" w:rsidR="00975F83" w:rsidRDefault="007018A3">
            <w:r>
              <w:t> </w:t>
            </w:r>
          </w:p>
        </w:tc>
      </w:tr>
      <w:tr w:rsidR="00975F83" w14:paraId="03DFA4D8" w14:textId="77777777">
        <w:tc>
          <w:tcPr>
            <w:tcW w:w="143" w:type="dxa"/>
            <w:vAlign w:val="center"/>
            <w:hideMark/>
          </w:tcPr>
          <w:p w14:paraId="779831E9" w14:textId="77777777" w:rsidR="00975F83" w:rsidRDefault="007018A3">
            <w:r>
              <w:t> </w:t>
            </w:r>
          </w:p>
        </w:tc>
        <w:tc>
          <w:tcPr>
            <w:tcW w:w="5262" w:type="dxa"/>
            <w:gridSpan w:val="2"/>
            <w:tcMar>
              <w:top w:w="0" w:type="dxa"/>
              <w:left w:w="108" w:type="dxa"/>
              <w:bottom w:w="0" w:type="dxa"/>
              <w:right w:w="108" w:type="dxa"/>
            </w:tcMar>
            <w:hideMark/>
          </w:tcPr>
          <w:p w14:paraId="24BFA352" w14:textId="1D7A0BA1" w:rsidR="00975F83" w:rsidRDefault="007018A3">
            <w:pPr>
              <w:spacing w:line="360" w:lineRule="auto"/>
            </w:pPr>
            <w:r>
              <w:t>Respiratory culture negative or no culture performed</w:t>
            </w:r>
          </w:p>
        </w:tc>
        <w:tc>
          <w:tcPr>
            <w:tcW w:w="7595" w:type="dxa"/>
            <w:gridSpan w:val="4"/>
            <w:tcMar>
              <w:top w:w="0" w:type="dxa"/>
              <w:left w:w="108" w:type="dxa"/>
              <w:bottom w:w="0" w:type="dxa"/>
              <w:right w:w="108" w:type="dxa"/>
            </w:tcMar>
            <w:hideMark/>
          </w:tcPr>
          <w:p w14:paraId="66E93503" w14:textId="77777777" w:rsidR="00975F83" w:rsidRDefault="007018A3">
            <w:pPr>
              <w:spacing w:line="360" w:lineRule="auto"/>
            </w:pPr>
            <w:r>
              <w:t xml:space="preserve">Consider stopping antibiotics if clinical picture no longer consistent with pneumonia </w:t>
            </w:r>
            <w:r>
              <w:rPr>
                <w:b/>
                <w:bCs/>
              </w:rPr>
              <w:t>OR</w:t>
            </w:r>
          </w:p>
          <w:p w14:paraId="1BA3A516" w14:textId="77777777" w:rsidR="00975F83" w:rsidRDefault="007018A3">
            <w:pPr>
              <w:spacing w:line="360" w:lineRule="auto"/>
            </w:pPr>
            <w:r>
              <w:rPr>
                <w:u w:val="single"/>
              </w:rPr>
              <w:t>De-escalate therapy:</w:t>
            </w:r>
          </w:p>
          <w:p w14:paraId="7000ED2B" w14:textId="57B44A74"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Replace empiric broad spectrum Gram-negative therapy with ceftriaxone 1g</w:t>
            </w:r>
            <w:r w:rsidR="0055027E">
              <w:t>m</w:t>
            </w:r>
            <w:r>
              <w:t xml:space="preserve"> IV q</w:t>
            </w:r>
            <w:r w:rsidR="0055027E">
              <w:t>24h</w:t>
            </w:r>
            <w:r>
              <w:t xml:space="preserve"> plus azithromycin 500mg IV q</w:t>
            </w:r>
            <w:r w:rsidR="0055027E">
              <w:t>24h</w:t>
            </w:r>
            <w:r>
              <w:t xml:space="preserve"> (if cannot take </w:t>
            </w:r>
            <w:r w:rsidR="00024F29">
              <w:t>PO</w:t>
            </w:r>
            <w:r>
              <w:t xml:space="preserve">) or amoxicillin-clavulanate 875mg/125mg po q12h and/or doxycycline 100mg po q12h (if can tolerate </w:t>
            </w:r>
            <w:r w:rsidR="00024F29">
              <w:t>PO</w:t>
            </w:r>
            <w:r>
              <w:t xml:space="preserve">); </w:t>
            </w:r>
            <w:r w:rsidRPr="00BA308E">
              <w:rPr>
                <w:b/>
              </w:rPr>
              <w:t>treat for 5-7 days TOTAL</w:t>
            </w:r>
          </w:p>
          <w:p w14:paraId="6E9782F4" w14:textId="3A993668" w:rsidR="00975F83" w:rsidRDefault="007018A3">
            <w:pPr>
              <w:pStyle w:val="ListBullet"/>
              <w:spacing w:line="360" w:lineRule="auto"/>
            </w:pPr>
            <w:r>
              <w:rPr>
                <w:rFonts w:ascii="Symbol" w:hAnsi="Symbol"/>
              </w:rPr>
              <w:t></w:t>
            </w:r>
            <w:r>
              <w:rPr>
                <w:rFonts w:ascii="Times New Roman" w:hAnsi="Times New Roman" w:cs="Times New Roman"/>
                <w:sz w:val="14"/>
                <w:szCs w:val="14"/>
              </w:rPr>
              <w:t>          </w:t>
            </w:r>
            <w:r>
              <w:t xml:space="preserve">Discontinue vancomycin (can substitute with doxycycline 100mg </w:t>
            </w:r>
            <w:r w:rsidR="00024F29">
              <w:t>PO</w:t>
            </w:r>
            <w:r>
              <w:t xml:space="preserve"> q12h if MRSA nares positive and no culture performed)</w:t>
            </w:r>
          </w:p>
        </w:tc>
        <w:tc>
          <w:tcPr>
            <w:tcW w:w="1999" w:type="dxa"/>
            <w:gridSpan w:val="2"/>
            <w:vAlign w:val="center"/>
            <w:hideMark/>
          </w:tcPr>
          <w:p w14:paraId="4587C00E" w14:textId="77777777" w:rsidR="00975F83" w:rsidRDefault="007018A3">
            <w:r>
              <w:t> </w:t>
            </w:r>
          </w:p>
        </w:tc>
      </w:tr>
      <w:tr w:rsidR="00975F83" w14:paraId="3BEFF481" w14:textId="77777777">
        <w:tc>
          <w:tcPr>
            <w:tcW w:w="143" w:type="dxa"/>
            <w:vAlign w:val="center"/>
            <w:hideMark/>
          </w:tcPr>
          <w:p w14:paraId="35C39815" w14:textId="77777777" w:rsidR="00975F83" w:rsidRDefault="007018A3">
            <w:r>
              <w:t> </w:t>
            </w:r>
          </w:p>
        </w:tc>
        <w:tc>
          <w:tcPr>
            <w:tcW w:w="5262" w:type="dxa"/>
            <w:gridSpan w:val="2"/>
            <w:shd w:val="clear" w:color="auto" w:fill="F3F3F3"/>
            <w:tcMar>
              <w:top w:w="0" w:type="dxa"/>
              <w:left w:w="108" w:type="dxa"/>
              <w:bottom w:w="0" w:type="dxa"/>
              <w:right w:w="108" w:type="dxa"/>
            </w:tcMar>
            <w:hideMark/>
          </w:tcPr>
          <w:p w14:paraId="2BAE3E83" w14:textId="77777777" w:rsidR="00975F83" w:rsidRDefault="007018A3">
            <w:pPr>
              <w:spacing w:line="360" w:lineRule="auto"/>
            </w:pPr>
            <w:r>
              <w:t>Culture positive</w:t>
            </w:r>
          </w:p>
        </w:tc>
        <w:tc>
          <w:tcPr>
            <w:tcW w:w="7595" w:type="dxa"/>
            <w:gridSpan w:val="4"/>
            <w:shd w:val="clear" w:color="auto" w:fill="F3F3F3"/>
            <w:tcMar>
              <w:top w:w="0" w:type="dxa"/>
              <w:left w:w="108" w:type="dxa"/>
              <w:bottom w:w="0" w:type="dxa"/>
              <w:right w:w="108" w:type="dxa"/>
            </w:tcMar>
            <w:hideMark/>
          </w:tcPr>
          <w:p w14:paraId="56A0FC1C" w14:textId="77777777" w:rsidR="00975F83" w:rsidRDefault="007018A3">
            <w:pPr>
              <w:spacing w:line="360" w:lineRule="auto"/>
            </w:pPr>
            <w:r>
              <w:rPr>
                <w:u w:val="single"/>
              </w:rPr>
              <w:t>Modify therapy</w:t>
            </w:r>
            <w:r w:rsidRPr="00BA308E">
              <w:t xml:space="preserve"> </w:t>
            </w:r>
            <w:r>
              <w:t>to target identified pathogen</w:t>
            </w:r>
          </w:p>
          <w:p w14:paraId="78F493D0"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rsidRPr="00BA308E">
              <w:rPr>
                <w:b/>
              </w:rPr>
              <w:t>Treat for 5-7 days</w:t>
            </w:r>
          </w:p>
        </w:tc>
        <w:tc>
          <w:tcPr>
            <w:tcW w:w="1999" w:type="dxa"/>
            <w:gridSpan w:val="2"/>
            <w:vAlign w:val="center"/>
            <w:hideMark/>
          </w:tcPr>
          <w:p w14:paraId="59D78401" w14:textId="77777777" w:rsidR="00975F83" w:rsidRDefault="007018A3">
            <w:r>
              <w:t> </w:t>
            </w:r>
          </w:p>
        </w:tc>
      </w:tr>
      <w:tr w:rsidR="00975F83" w14:paraId="51118E88" w14:textId="77777777">
        <w:tc>
          <w:tcPr>
            <w:tcW w:w="143" w:type="dxa"/>
            <w:vAlign w:val="center"/>
            <w:hideMark/>
          </w:tcPr>
          <w:p w14:paraId="7F83C00B" w14:textId="77777777" w:rsidR="00975F83" w:rsidRDefault="007018A3">
            <w:r>
              <w:t> </w:t>
            </w:r>
          </w:p>
        </w:tc>
        <w:tc>
          <w:tcPr>
            <w:tcW w:w="5262" w:type="dxa"/>
            <w:gridSpan w:val="2"/>
            <w:tcMar>
              <w:top w:w="0" w:type="dxa"/>
              <w:left w:w="108" w:type="dxa"/>
              <w:bottom w:w="0" w:type="dxa"/>
              <w:right w:w="108" w:type="dxa"/>
            </w:tcMar>
          </w:tcPr>
          <w:p w14:paraId="7C6B5543" w14:textId="77777777" w:rsidR="00975F83" w:rsidRDefault="00975F83">
            <w:pPr>
              <w:spacing w:line="360" w:lineRule="auto"/>
            </w:pPr>
          </w:p>
        </w:tc>
        <w:tc>
          <w:tcPr>
            <w:tcW w:w="7595" w:type="dxa"/>
            <w:gridSpan w:val="4"/>
            <w:tcMar>
              <w:top w:w="0" w:type="dxa"/>
              <w:left w:w="108" w:type="dxa"/>
              <w:bottom w:w="0" w:type="dxa"/>
              <w:right w:w="108" w:type="dxa"/>
            </w:tcMar>
          </w:tcPr>
          <w:p w14:paraId="3CB2E181" w14:textId="77777777" w:rsidR="00975F83" w:rsidRDefault="00975F83">
            <w:pPr>
              <w:pStyle w:val="ListBullet"/>
              <w:spacing w:line="360" w:lineRule="auto"/>
            </w:pPr>
          </w:p>
        </w:tc>
        <w:tc>
          <w:tcPr>
            <w:tcW w:w="1999" w:type="dxa"/>
            <w:gridSpan w:val="2"/>
            <w:vAlign w:val="center"/>
            <w:hideMark/>
          </w:tcPr>
          <w:p w14:paraId="3581D693" w14:textId="77777777" w:rsidR="00975F83" w:rsidRDefault="007018A3">
            <w:r>
              <w:t> </w:t>
            </w:r>
          </w:p>
        </w:tc>
      </w:tr>
      <w:tr w:rsidR="00975F83" w14:paraId="44B08136" w14:textId="77777777">
        <w:tc>
          <w:tcPr>
            <w:tcW w:w="143" w:type="dxa"/>
            <w:vAlign w:val="center"/>
          </w:tcPr>
          <w:p w14:paraId="2995DC09" w14:textId="77777777" w:rsidR="00975F83" w:rsidRDefault="00975F83"/>
        </w:tc>
        <w:tc>
          <w:tcPr>
            <w:tcW w:w="5262" w:type="dxa"/>
            <w:gridSpan w:val="2"/>
            <w:tcMar>
              <w:top w:w="0" w:type="dxa"/>
              <w:left w:w="108" w:type="dxa"/>
              <w:bottom w:w="0" w:type="dxa"/>
              <w:right w:w="108" w:type="dxa"/>
            </w:tcMar>
          </w:tcPr>
          <w:p w14:paraId="75271CEF" w14:textId="77777777" w:rsidR="00975F83" w:rsidRDefault="00975F83">
            <w:pPr>
              <w:spacing w:line="360" w:lineRule="auto"/>
            </w:pPr>
          </w:p>
        </w:tc>
        <w:tc>
          <w:tcPr>
            <w:tcW w:w="7595" w:type="dxa"/>
            <w:gridSpan w:val="4"/>
            <w:tcMar>
              <w:top w:w="0" w:type="dxa"/>
              <w:left w:w="108" w:type="dxa"/>
              <w:bottom w:w="0" w:type="dxa"/>
              <w:right w:w="108" w:type="dxa"/>
            </w:tcMar>
          </w:tcPr>
          <w:p w14:paraId="788DEA97" w14:textId="77777777" w:rsidR="00975F83" w:rsidRDefault="00975F83">
            <w:pPr>
              <w:spacing w:line="360" w:lineRule="auto"/>
              <w:rPr>
                <w:u w:val="single"/>
              </w:rPr>
            </w:pPr>
          </w:p>
        </w:tc>
        <w:tc>
          <w:tcPr>
            <w:tcW w:w="1999" w:type="dxa"/>
            <w:gridSpan w:val="2"/>
            <w:vAlign w:val="center"/>
          </w:tcPr>
          <w:p w14:paraId="776DA71A" w14:textId="77777777" w:rsidR="00975F83" w:rsidRDefault="00975F83"/>
        </w:tc>
      </w:tr>
      <w:tr w:rsidR="00975F83" w14:paraId="5A36C753" w14:textId="77777777">
        <w:tc>
          <w:tcPr>
            <w:tcW w:w="143" w:type="dxa"/>
            <w:vAlign w:val="center"/>
            <w:hideMark/>
          </w:tcPr>
          <w:p w14:paraId="4259DCB1" w14:textId="77777777" w:rsidR="00975F83" w:rsidRDefault="007018A3">
            <w:r>
              <w:t> </w:t>
            </w:r>
          </w:p>
        </w:tc>
        <w:tc>
          <w:tcPr>
            <w:tcW w:w="12857" w:type="dxa"/>
            <w:gridSpan w:val="6"/>
            <w:tcMar>
              <w:top w:w="0" w:type="dxa"/>
              <w:left w:w="108" w:type="dxa"/>
              <w:bottom w:w="0" w:type="dxa"/>
              <w:right w:w="108" w:type="dxa"/>
            </w:tcMar>
            <w:hideMark/>
          </w:tcPr>
          <w:p w14:paraId="505E1EB4" w14:textId="77777777" w:rsidR="00C7388B" w:rsidRDefault="00C7388B" w:rsidP="00C7388B">
            <w:pPr>
              <w:pStyle w:val="ListBullet"/>
              <w:spacing w:line="360" w:lineRule="auto"/>
              <w:ind w:left="0" w:firstLine="0"/>
            </w:pPr>
            <w:r>
              <w:t>[</w:t>
            </w:r>
            <w:hyperlink w:anchor="_top" w:history="1">
              <w:r w:rsidRPr="00C7388B">
                <w:rPr>
                  <w:rStyle w:val="Hyperlink"/>
                </w:rPr>
                <w:t>back to top</w:t>
              </w:r>
            </w:hyperlink>
            <w:r>
              <w:t>]</w:t>
            </w:r>
          </w:p>
          <w:p w14:paraId="66519EF6" w14:textId="77777777" w:rsidR="00975F83" w:rsidRDefault="007018A3">
            <w:pPr>
              <w:spacing w:line="360" w:lineRule="auto"/>
            </w:pPr>
            <w:r>
              <w:t> </w:t>
            </w:r>
          </w:p>
        </w:tc>
        <w:tc>
          <w:tcPr>
            <w:tcW w:w="1999" w:type="dxa"/>
            <w:gridSpan w:val="2"/>
            <w:vAlign w:val="center"/>
            <w:hideMark/>
          </w:tcPr>
          <w:p w14:paraId="644C3269" w14:textId="77777777" w:rsidR="00975F83" w:rsidRDefault="007018A3">
            <w:r>
              <w:t> </w:t>
            </w:r>
          </w:p>
        </w:tc>
      </w:tr>
      <w:tr w:rsidR="00975F83" w14:paraId="7557F8AB" w14:textId="77777777">
        <w:tc>
          <w:tcPr>
            <w:tcW w:w="143" w:type="dxa"/>
            <w:vAlign w:val="center"/>
            <w:hideMark/>
          </w:tcPr>
          <w:p w14:paraId="0289AB8D" w14:textId="77777777" w:rsidR="00975F83" w:rsidRDefault="007018A3">
            <w:r>
              <w:t> </w:t>
            </w:r>
          </w:p>
        </w:tc>
        <w:tc>
          <w:tcPr>
            <w:tcW w:w="12857" w:type="dxa"/>
            <w:gridSpan w:val="6"/>
            <w:shd w:val="clear" w:color="auto" w:fill="FFFF00"/>
            <w:tcMar>
              <w:top w:w="0" w:type="dxa"/>
              <w:left w:w="108" w:type="dxa"/>
              <w:bottom w:w="0" w:type="dxa"/>
              <w:right w:w="108" w:type="dxa"/>
            </w:tcMar>
            <w:hideMark/>
          </w:tcPr>
          <w:p w14:paraId="7686DF04" w14:textId="77777777" w:rsidR="00975F83" w:rsidRDefault="007018A3">
            <w:pPr>
              <w:pStyle w:val="Heading2"/>
              <w:spacing w:line="360" w:lineRule="auto"/>
              <w:rPr>
                <w:rFonts w:eastAsia="Times New Roman"/>
              </w:rPr>
            </w:pPr>
            <w:bookmarkStart w:id="13" w:name="fail"/>
            <w:bookmarkEnd w:id="13"/>
            <w:r>
              <w:rPr>
                <w:rFonts w:eastAsia="Times New Roman"/>
                <w:b/>
                <w:bCs/>
              </w:rPr>
              <w:t>EVALUATION OF PATIENTS WITH PNEUMONIA WHO FAIL TO RESPOND TO THERAPY</w:t>
            </w:r>
          </w:p>
        </w:tc>
        <w:tc>
          <w:tcPr>
            <w:tcW w:w="1999" w:type="dxa"/>
            <w:gridSpan w:val="2"/>
            <w:vAlign w:val="center"/>
            <w:hideMark/>
          </w:tcPr>
          <w:p w14:paraId="2F268F66" w14:textId="77777777" w:rsidR="00975F83" w:rsidRDefault="007018A3">
            <w:r>
              <w:t> </w:t>
            </w:r>
          </w:p>
        </w:tc>
      </w:tr>
      <w:tr w:rsidR="00975F83" w14:paraId="6AD8787F" w14:textId="77777777" w:rsidTr="00BA308E">
        <w:tc>
          <w:tcPr>
            <w:tcW w:w="143" w:type="dxa"/>
            <w:vAlign w:val="center"/>
            <w:hideMark/>
          </w:tcPr>
          <w:p w14:paraId="4AEBB64D" w14:textId="77777777" w:rsidR="00975F83" w:rsidRDefault="007018A3">
            <w:r>
              <w:t> </w:t>
            </w:r>
          </w:p>
        </w:tc>
        <w:tc>
          <w:tcPr>
            <w:tcW w:w="5262" w:type="dxa"/>
            <w:gridSpan w:val="2"/>
            <w:shd w:val="clear" w:color="auto" w:fill="FFFFFF" w:themeFill="background1"/>
            <w:tcMar>
              <w:top w:w="0" w:type="dxa"/>
              <w:left w:w="108" w:type="dxa"/>
              <w:bottom w:w="0" w:type="dxa"/>
              <w:right w:w="108" w:type="dxa"/>
            </w:tcMar>
            <w:hideMark/>
          </w:tcPr>
          <w:p w14:paraId="4FBD7D51" w14:textId="77777777" w:rsidR="00975F83" w:rsidRPr="00BA308E" w:rsidRDefault="007018A3">
            <w:pPr>
              <w:pStyle w:val="ListBullet"/>
              <w:spacing w:line="360" w:lineRule="auto"/>
              <w:rPr>
                <w:u w:val="single"/>
              </w:rPr>
            </w:pPr>
            <w:r w:rsidRPr="00BA308E">
              <w:rPr>
                <w:u w:val="single"/>
              </w:rPr>
              <w:t>Consider local complication</w:t>
            </w:r>
          </w:p>
        </w:tc>
        <w:tc>
          <w:tcPr>
            <w:tcW w:w="7595" w:type="dxa"/>
            <w:gridSpan w:val="4"/>
            <w:shd w:val="clear" w:color="auto" w:fill="FFFFFF" w:themeFill="background1"/>
            <w:tcMar>
              <w:top w:w="0" w:type="dxa"/>
              <w:left w:w="108" w:type="dxa"/>
              <w:bottom w:w="0" w:type="dxa"/>
              <w:right w:w="108" w:type="dxa"/>
            </w:tcMar>
            <w:hideMark/>
          </w:tcPr>
          <w:p w14:paraId="337D61FF" w14:textId="77777777" w:rsidR="00975F83" w:rsidRPr="00BA308E" w:rsidRDefault="007018A3">
            <w:pPr>
              <w:pStyle w:val="ListBullet"/>
              <w:spacing w:line="360" w:lineRule="auto"/>
              <w:rPr>
                <w:u w:val="single"/>
              </w:rPr>
            </w:pPr>
            <w:r w:rsidRPr="00BA308E">
              <w:rPr>
                <w:u w:val="single"/>
              </w:rPr>
              <w:t>Consider other site of infection</w:t>
            </w:r>
          </w:p>
        </w:tc>
        <w:tc>
          <w:tcPr>
            <w:tcW w:w="1999" w:type="dxa"/>
            <w:gridSpan w:val="2"/>
            <w:vAlign w:val="center"/>
            <w:hideMark/>
          </w:tcPr>
          <w:p w14:paraId="6C2537BF" w14:textId="77777777" w:rsidR="00975F83" w:rsidRDefault="007018A3">
            <w:r>
              <w:t> </w:t>
            </w:r>
          </w:p>
        </w:tc>
      </w:tr>
      <w:tr w:rsidR="00975F83" w14:paraId="5611BFD5" w14:textId="77777777">
        <w:tc>
          <w:tcPr>
            <w:tcW w:w="143" w:type="dxa"/>
            <w:vAlign w:val="center"/>
            <w:hideMark/>
          </w:tcPr>
          <w:p w14:paraId="0D937F60" w14:textId="77777777" w:rsidR="00975F83" w:rsidRDefault="007018A3">
            <w:r>
              <w:t> </w:t>
            </w:r>
          </w:p>
        </w:tc>
        <w:tc>
          <w:tcPr>
            <w:tcW w:w="5262" w:type="dxa"/>
            <w:gridSpan w:val="2"/>
            <w:tcMar>
              <w:top w:w="0" w:type="dxa"/>
              <w:left w:w="108" w:type="dxa"/>
              <w:bottom w:w="0" w:type="dxa"/>
              <w:right w:w="108" w:type="dxa"/>
            </w:tcMar>
            <w:hideMark/>
          </w:tcPr>
          <w:p w14:paraId="6E8A3441"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Empyema</w:t>
            </w:r>
          </w:p>
          <w:p w14:paraId="47038C29"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Lung abscess</w:t>
            </w:r>
          </w:p>
        </w:tc>
        <w:tc>
          <w:tcPr>
            <w:tcW w:w="7595" w:type="dxa"/>
            <w:gridSpan w:val="4"/>
            <w:tcMar>
              <w:top w:w="0" w:type="dxa"/>
              <w:left w:w="108" w:type="dxa"/>
              <w:bottom w:w="0" w:type="dxa"/>
              <w:right w:w="108" w:type="dxa"/>
            </w:tcMar>
            <w:hideMark/>
          </w:tcPr>
          <w:p w14:paraId="6E24E61F"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rPr>
                <w:i/>
                <w:iCs/>
              </w:rPr>
              <w:t>C. difficile</w:t>
            </w:r>
            <w:r>
              <w:t xml:space="preserve"> colitis</w:t>
            </w:r>
            <w:r>
              <w:rPr>
                <w:rFonts w:ascii="Symbol" w:hAnsi="Symbol"/>
              </w:rPr>
              <w:t></w:t>
            </w:r>
          </w:p>
          <w:p w14:paraId="189D1C50" w14:textId="77777777" w:rsidR="00975F83" w:rsidRDefault="007018A3">
            <w:pPr>
              <w:spacing w:line="360" w:lineRule="auto"/>
            </w:pPr>
            <w:r>
              <w:rPr>
                <w:rFonts w:ascii="Symbol" w:hAnsi="Symbol"/>
              </w:rPr>
              <w:t></w:t>
            </w:r>
            <w:r>
              <w:rPr>
                <w:rFonts w:ascii="Times New Roman" w:hAnsi="Times New Roman" w:cs="Times New Roman"/>
                <w:sz w:val="14"/>
                <w:szCs w:val="14"/>
              </w:rPr>
              <w:t xml:space="preserve">            </w:t>
            </w:r>
            <w:r>
              <w:t>Vascular catheter infection </w:t>
            </w:r>
          </w:p>
        </w:tc>
        <w:tc>
          <w:tcPr>
            <w:tcW w:w="1999" w:type="dxa"/>
            <w:gridSpan w:val="2"/>
            <w:vAlign w:val="center"/>
            <w:hideMark/>
          </w:tcPr>
          <w:p w14:paraId="5E53F603" w14:textId="77777777" w:rsidR="00975F83" w:rsidRDefault="007018A3">
            <w:r>
              <w:t> </w:t>
            </w:r>
          </w:p>
        </w:tc>
      </w:tr>
      <w:tr w:rsidR="00975F83" w14:paraId="0BE75E9D" w14:textId="77777777" w:rsidTr="00BA308E">
        <w:tc>
          <w:tcPr>
            <w:tcW w:w="143" w:type="dxa"/>
            <w:vAlign w:val="center"/>
            <w:hideMark/>
          </w:tcPr>
          <w:p w14:paraId="01F93A0E" w14:textId="77777777" w:rsidR="00975F83" w:rsidRDefault="007018A3">
            <w:r>
              <w:t> </w:t>
            </w:r>
          </w:p>
        </w:tc>
        <w:tc>
          <w:tcPr>
            <w:tcW w:w="5262" w:type="dxa"/>
            <w:gridSpan w:val="2"/>
            <w:shd w:val="clear" w:color="auto" w:fill="FFFFFF" w:themeFill="background1"/>
            <w:tcMar>
              <w:top w:w="0" w:type="dxa"/>
              <w:left w:w="108" w:type="dxa"/>
              <w:bottom w:w="0" w:type="dxa"/>
              <w:right w:w="108" w:type="dxa"/>
            </w:tcMar>
            <w:hideMark/>
          </w:tcPr>
          <w:p w14:paraId="5134DF3C" w14:textId="77777777" w:rsidR="00975F83" w:rsidRDefault="007018A3">
            <w:pPr>
              <w:spacing w:line="360" w:lineRule="auto"/>
            </w:pPr>
            <w:r>
              <w:rPr>
                <w:u w:val="single"/>
              </w:rPr>
              <w:t>Consider alternative pathogen</w:t>
            </w:r>
          </w:p>
        </w:tc>
        <w:tc>
          <w:tcPr>
            <w:tcW w:w="7595" w:type="dxa"/>
            <w:gridSpan w:val="4"/>
            <w:shd w:val="clear" w:color="auto" w:fill="FFFFFF" w:themeFill="background1"/>
            <w:tcMar>
              <w:top w:w="0" w:type="dxa"/>
              <w:left w:w="108" w:type="dxa"/>
              <w:bottom w:w="0" w:type="dxa"/>
              <w:right w:w="108" w:type="dxa"/>
            </w:tcMar>
            <w:hideMark/>
          </w:tcPr>
          <w:p w14:paraId="7464EAD2" w14:textId="77777777" w:rsidR="00975F83" w:rsidRDefault="007018A3">
            <w:pPr>
              <w:spacing w:line="360" w:lineRule="auto"/>
            </w:pPr>
            <w:r>
              <w:t> </w:t>
            </w:r>
          </w:p>
        </w:tc>
        <w:tc>
          <w:tcPr>
            <w:tcW w:w="1999" w:type="dxa"/>
            <w:gridSpan w:val="2"/>
            <w:vAlign w:val="center"/>
            <w:hideMark/>
          </w:tcPr>
          <w:p w14:paraId="5E916BF4" w14:textId="77777777" w:rsidR="00975F83" w:rsidRDefault="007018A3">
            <w:r>
              <w:t> </w:t>
            </w:r>
          </w:p>
        </w:tc>
      </w:tr>
      <w:tr w:rsidR="00975F83" w14:paraId="535CF6AC" w14:textId="77777777">
        <w:tc>
          <w:tcPr>
            <w:tcW w:w="143" w:type="dxa"/>
            <w:vAlign w:val="center"/>
            <w:hideMark/>
          </w:tcPr>
          <w:p w14:paraId="462560E3" w14:textId="77777777" w:rsidR="00975F83" w:rsidRDefault="007018A3">
            <w:r>
              <w:t> </w:t>
            </w:r>
          </w:p>
        </w:tc>
        <w:tc>
          <w:tcPr>
            <w:tcW w:w="5262" w:type="dxa"/>
            <w:gridSpan w:val="2"/>
            <w:tcMar>
              <w:top w:w="0" w:type="dxa"/>
              <w:left w:w="108" w:type="dxa"/>
              <w:bottom w:w="0" w:type="dxa"/>
              <w:right w:w="108" w:type="dxa"/>
            </w:tcMar>
            <w:hideMark/>
          </w:tcPr>
          <w:p w14:paraId="2302B29E"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 xml:space="preserve">Viral pneumonia, e.g. influenza </w:t>
            </w:r>
          </w:p>
          <w:p w14:paraId="398B1C2F"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Legionella</w:t>
            </w:r>
          </w:p>
          <w:p w14:paraId="28C5072D"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Nocardia</w:t>
            </w:r>
          </w:p>
          <w:p w14:paraId="29B1037E"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Tuberculosis</w:t>
            </w:r>
          </w:p>
        </w:tc>
        <w:tc>
          <w:tcPr>
            <w:tcW w:w="7595" w:type="dxa"/>
            <w:gridSpan w:val="4"/>
            <w:tcMar>
              <w:top w:w="0" w:type="dxa"/>
              <w:left w:w="108" w:type="dxa"/>
              <w:bottom w:w="0" w:type="dxa"/>
              <w:right w:w="108" w:type="dxa"/>
            </w:tcMar>
            <w:hideMark/>
          </w:tcPr>
          <w:p w14:paraId="06DFD0D1"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Fungi</w:t>
            </w:r>
          </w:p>
          <w:p w14:paraId="535AA5CF" w14:textId="77777777" w:rsidR="00975F83" w:rsidRDefault="007018A3">
            <w:pPr>
              <w:pStyle w:val="ListBullet2"/>
              <w:spacing w:line="360" w:lineRule="auto"/>
            </w:pPr>
            <w:r>
              <w:rPr>
                <w:rFonts w:ascii="Symbol" w:hAnsi="Symbol"/>
              </w:rPr>
              <w:t></w:t>
            </w:r>
            <w:r>
              <w:rPr>
                <w:rFonts w:ascii="Times New Roman" w:hAnsi="Times New Roman" w:cs="Times New Roman"/>
                <w:sz w:val="14"/>
                <w:szCs w:val="14"/>
              </w:rPr>
              <w:t xml:space="preserve">            </w:t>
            </w:r>
            <w:r>
              <w:t>Aspergillus</w:t>
            </w:r>
          </w:p>
          <w:p w14:paraId="5797E5C4" w14:textId="77777777" w:rsidR="00975F83" w:rsidRDefault="007018A3">
            <w:pPr>
              <w:pStyle w:val="ListBullet2"/>
              <w:spacing w:line="360" w:lineRule="auto"/>
            </w:pPr>
            <w:r>
              <w:rPr>
                <w:rFonts w:ascii="Symbol" w:hAnsi="Symbol"/>
              </w:rPr>
              <w:t></w:t>
            </w:r>
            <w:r>
              <w:rPr>
                <w:rFonts w:ascii="Times New Roman" w:hAnsi="Times New Roman" w:cs="Times New Roman"/>
                <w:sz w:val="14"/>
                <w:szCs w:val="14"/>
              </w:rPr>
              <w:t xml:space="preserve">            </w:t>
            </w:r>
            <w:r>
              <w:t>Coccidioidomycosis and other endemic mycoses</w:t>
            </w:r>
          </w:p>
          <w:p w14:paraId="15874368"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rPr>
                <w:i/>
                <w:iCs/>
              </w:rPr>
              <w:t xml:space="preserve">Pneumocystis </w:t>
            </w:r>
            <w:proofErr w:type="spellStart"/>
            <w:r>
              <w:rPr>
                <w:i/>
                <w:iCs/>
              </w:rPr>
              <w:t>jiroveci</w:t>
            </w:r>
            <w:proofErr w:type="spellEnd"/>
            <w:r>
              <w:t xml:space="preserve"> pneumonia (i.e., PCP)</w:t>
            </w:r>
          </w:p>
          <w:p w14:paraId="79567BCC" w14:textId="6F471897" w:rsidR="00905DBE" w:rsidRDefault="00905DBE">
            <w:pPr>
              <w:pStyle w:val="ListBullet"/>
              <w:spacing w:line="360" w:lineRule="auto"/>
            </w:pPr>
          </w:p>
        </w:tc>
        <w:tc>
          <w:tcPr>
            <w:tcW w:w="1999" w:type="dxa"/>
            <w:gridSpan w:val="2"/>
            <w:vAlign w:val="center"/>
            <w:hideMark/>
          </w:tcPr>
          <w:p w14:paraId="05D83B06" w14:textId="77777777" w:rsidR="00975F83" w:rsidRDefault="007018A3">
            <w:r>
              <w:t> </w:t>
            </w:r>
          </w:p>
        </w:tc>
      </w:tr>
      <w:tr w:rsidR="00975F83" w14:paraId="07299EFE" w14:textId="77777777" w:rsidTr="00BA308E">
        <w:tc>
          <w:tcPr>
            <w:tcW w:w="143" w:type="dxa"/>
            <w:vAlign w:val="center"/>
            <w:hideMark/>
          </w:tcPr>
          <w:p w14:paraId="307005BE" w14:textId="77777777" w:rsidR="00975F83" w:rsidRDefault="007018A3">
            <w:r>
              <w:t> </w:t>
            </w:r>
          </w:p>
        </w:tc>
        <w:tc>
          <w:tcPr>
            <w:tcW w:w="5262" w:type="dxa"/>
            <w:gridSpan w:val="2"/>
            <w:shd w:val="clear" w:color="auto" w:fill="FFFFFF" w:themeFill="background1"/>
            <w:tcMar>
              <w:top w:w="0" w:type="dxa"/>
              <w:left w:w="108" w:type="dxa"/>
              <w:bottom w:w="0" w:type="dxa"/>
              <w:right w:w="108" w:type="dxa"/>
            </w:tcMar>
            <w:hideMark/>
          </w:tcPr>
          <w:p w14:paraId="54991B05" w14:textId="77777777" w:rsidR="00975F83" w:rsidRDefault="007018A3">
            <w:pPr>
              <w:spacing w:line="360" w:lineRule="auto"/>
            </w:pPr>
            <w:r>
              <w:rPr>
                <w:u w:val="single"/>
              </w:rPr>
              <w:t>Consider alternative diagnoses</w:t>
            </w:r>
          </w:p>
        </w:tc>
        <w:tc>
          <w:tcPr>
            <w:tcW w:w="7595" w:type="dxa"/>
            <w:gridSpan w:val="4"/>
            <w:shd w:val="clear" w:color="auto" w:fill="FFFFFF" w:themeFill="background1"/>
            <w:tcMar>
              <w:top w:w="0" w:type="dxa"/>
              <w:left w:w="108" w:type="dxa"/>
              <w:bottom w:w="0" w:type="dxa"/>
              <w:right w:w="108" w:type="dxa"/>
            </w:tcMar>
            <w:hideMark/>
          </w:tcPr>
          <w:p w14:paraId="10AE7638" w14:textId="77777777" w:rsidR="00975F83" w:rsidRDefault="007018A3">
            <w:pPr>
              <w:spacing w:line="360" w:lineRule="auto"/>
            </w:pPr>
            <w:r>
              <w:t> </w:t>
            </w:r>
          </w:p>
        </w:tc>
        <w:tc>
          <w:tcPr>
            <w:tcW w:w="1999" w:type="dxa"/>
            <w:gridSpan w:val="2"/>
            <w:vAlign w:val="center"/>
            <w:hideMark/>
          </w:tcPr>
          <w:p w14:paraId="0FFA0F4C" w14:textId="77777777" w:rsidR="00975F83" w:rsidRDefault="007018A3">
            <w:r>
              <w:t> </w:t>
            </w:r>
          </w:p>
        </w:tc>
      </w:tr>
      <w:tr w:rsidR="00975F83" w14:paraId="72F4359C" w14:textId="77777777">
        <w:tc>
          <w:tcPr>
            <w:tcW w:w="143" w:type="dxa"/>
            <w:vAlign w:val="center"/>
            <w:hideMark/>
          </w:tcPr>
          <w:p w14:paraId="62C53B95" w14:textId="77777777" w:rsidR="00975F83" w:rsidRDefault="007018A3">
            <w:r>
              <w:t> </w:t>
            </w:r>
          </w:p>
        </w:tc>
        <w:tc>
          <w:tcPr>
            <w:tcW w:w="5262" w:type="dxa"/>
            <w:gridSpan w:val="2"/>
            <w:tcMar>
              <w:top w:w="0" w:type="dxa"/>
              <w:left w:w="108" w:type="dxa"/>
              <w:bottom w:w="0" w:type="dxa"/>
              <w:right w:w="108" w:type="dxa"/>
            </w:tcMar>
            <w:hideMark/>
          </w:tcPr>
          <w:p w14:paraId="438B9DA4"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Atelectasis</w:t>
            </w:r>
          </w:p>
          <w:p w14:paraId="5E2B869A"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Pulmonary embolus</w:t>
            </w:r>
          </w:p>
          <w:p w14:paraId="46D79C9C"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Pulmonary hemorrhage</w:t>
            </w:r>
          </w:p>
          <w:p w14:paraId="589FDE45"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Underlying disease</w:t>
            </w:r>
          </w:p>
          <w:p w14:paraId="3A0DD5C1"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Drug fever</w:t>
            </w:r>
          </w:p>
          <w:p w14:paraId="081ECF7E" w14:textId="571ACBEB" w:rsidR="00905DBE" w:rsidRDefault="00905DBE">
            <w:pPr>
              <w:pStyle w:val="ListBullet"/>
              <w:spacing w:line="360" w:lineRule="auto"/>
            </w:pPr>
          </w:p>
        </w:tc>
        <w:tc>
          <w:tcPr>
            <w:tcW w:w="7595" w:type="dxa"/>
            <w:gridSpan w:val="4"/>
            <w:tcMar>
              <w:top w:w="0" w:type="dxa"/>
              <w:left w:w="108" w:type="dxa"/>
              <w:bottom w:w="0" w:type="dxa"/>
              <w:right w:w="108" w:type="dxa"/>
            </w:tcMar>
            <w:hideMark/>
          </w:tcPr>
          <w:p w14:paraId="210AC0C2"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Neoplasm</w:t>
            </w:r>
          </w:p>
          <w:p w14:paraId="34919DDB"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Bronchiolitis obliterans and organizing pneumonia (BOOP)</w:t>
            </w:r>
          </w:p>
          <w:p w14:paraId="5161AA0F"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ARDS</w:t>
            </w:r>
          </w:p>
          <w:p w14:paraId="2AC5D093" w14:textId="77777777" w:rsidR="00975F83" w:rsidRDefault="007018A3">
            <w:pPr>
              <w:pStyle w:val="ListBullet"/>
              <w:spacing w:line="360" w:lineRule="auto"/>
            </w:pPr>
            <w:r>
              <w:rPr>
                <w:rFonts w:ascii="Symbol" w:hAnsi="Symbol"/>
              </w:rPr>
              <w:t></w:t>
            </w:r>
            <w:r>
              <w:rPr>
                <w:rFonts w:ascii="Times New Roman" w:hAnsi="Times New Roman" w:cs="Times New Roman"/>
                <w:sz w:val="14"/>
                <w:szCs w:val="14"/>
              </w:rPr>
              <w:t xml:space="preserve">            </w:t>
            </w:r>
            <w:r>
              <w:t>Pulmonary vasculitis, eosinophilic pneumonia</w:t>
            </w:r>
          </w:p>
        </w:tc>
        <w:tc>
          <w:tcPr>
            <w:tcW w:w="1999" w:type="dxa"/>
            <w:gridSpan w:val="2"/>
            <w:vAlign w:val="center"/>
            <w:hideMark/>
          </w:tcPr>
          <w:p w14:paraId="01DF6A0D" w14:textId="77777777" w:rsidR="00975F83" w:rsidRDefault="007018A3">
            <w:r>
              <w:t> </w:t>
            </w:r>
          </w:p>
        </w:tc>
      </w:tr>
      <w:tr w:rsidR="00975F83" w14:paraId="2BC4DB17" w14:textId="77777777">
        <w:tc>
          <w:tcPr>
            <w:tcW w:w="143" w:type="dxa"/>
            <w:vAlign w:val="center"/>
            <w:hideMark/>
          </w:tcPr>
          <w:p w14:paraId="1DB9870E" w14:textId="77777777" w:rsidR="00975F83" w:rsidRDefault="007018A3">
            <w:r>
              <w:t> </w:t>
            </w:r>
          </w:p>
        </w:tc>
        <w:tc>
          <w:tcPr>
            <w:tcW w:w="12857" w:type="dxa"/>
            <w:gridSpan w:val="6"/>
            <w:tcMar>
              <w:top w:w="0" w:type="dxa"/>
              <w:left w:w="108" w:type="dxa"/>
              <w:bottom w:w="0" w:type="dxa"/>
              <w:right w:w="108" w:type="dxa"/>
            </w:tcMar>
            <w:hideMark/>
          </w:tcPr>
          <w:p w14:paraId="2C316931" w14:textId="5C6E40A4" w:rsidR="00975F83" w:rsidRDefault="00C7388B" w:rsidP="00C7388B">
            <w:pPr>
              <w:pStyle w:val="ListBullet"/>
              <w:spacing w:line="360" w:lineRule="auto"/>
              <w:ind w:left="0" w:firstLine="0"/>
            </w:pPr>
            <w:r>
              <w:t>[</w:t>
            </w:r>
            <w:hyperlink w:anchor="_top" w:history="1">
              <w:r w:rsidRPr="00C7388B">
                <w:rPr>
                  <w:rStyle w:val="Hyperlink"/>
                </w:rPr>
                <w:t>back to top</w:t>
              </w:r>
            </w:hyperlink>
            <w:r>
              <w:t>]</w:t>
            </w:r>
          </w:p>
          <w:p w14:paraId="7E9D38F7" w14:textId="77777777" w:rsidR="00975F83" w:rsidRDefault="007018A3">
            <w:pPr>
              <w:spacing w:line="360" w:lineRule="auto"/>
            </w:pPr>
            <w:r>
              <w:rPr>
                <w:b/>
                <w:bCs/>
              </w:rPr>
              <w:t>+++++++++++++++ </w:t>
            </w:r>
          </w:p>
        </w:tc>
        <w:tc>
          <w:tcPr>
            <w:tcW w:w="1999" w:type="dxa"/>
            <w:gridSpan w:val="2"/>
            <w:vAlign w:val="center"/>
            <w:hideMark/>
          </w:tcPr>
          <w:p w14:paraId="709F5676" w14:textId="77777777" w:rsidR="00975F83" w:rsidRDefault="007018A3">
            <w:r>
              <w:t> </w:t>
            </w:r>
          </w:p>
        </w:tc>
      </w:tr>
      <w:tr w:rsidR="00975F83" w14:paraId="40EF20B2" w14:textId="77777777">
        <w:tc>
          <w:tcPr>
            <w:tcW w:w="143" w:type="dxa"/>
            <w:vAlign w:val="center"/>
            <w:hideMark/>
          </w:tcPr>
          <w:p w14:paraId="3A15BC53" w14:textId="77777777" w:rsidR="00975F83" w:rsidRDefault="007018A3">
            <w:r>
              <w:t> </w:t>
            </w:r>
          </w:p>
        </w:tc>
        <w:tc>
          <w:tcPr>
            <w:tcW w:w="5078" w:type="dxa"/>
            <w:vAlign w:val="center"/>
            <w:hideMark/>
          </w:tcPr>
          <w:p w14:paraId="6EE6941E" w14:textId="77777777" w:rsidR="00975F83" w:rsidRDefault="007018A3">
            <w:r>
              <w:t> </w:t>
            </w:r>
          </w:p>
        </w:tc>
        <w:tc>
          <w:tcPr>
            <w:tcW w:w="184" w:type="dxa"/>
            <w:vAlign w:val="center"/>
            <w:hideMark/>
          </w:tcPr>
          <w:p w14:paraId="1ECD262E" w14:textId="77777777" w:rsidR="00975F83" w:rsidRDefault="007018A3">
            <w:r>
              <w:t> </w:t>
            </w:r>
          </w:p>
        </w:tc>
        <w:tc>
          <w:tcPr>
            <w:tcW w:w="2131" w:type="dxa"/>
            <w:gridSpan w:val="2"/>
            <w:vAlign w:val="center"/>
            <w:hideMark/>
          </w:tcPr>
          <w:p w14:paraId="3F3E801D" w14:textId="77777777" w:rsidR="00975F83" w:rsidRDefault="007018A3">
            <w:r>
              <w:t> </w:t>
            </w:r>
          </w:p>
        </w:tc>
        <w:tc>
          <w:tcPr>
            <w:tcW w:w="7321" w:type="dxa"/>
            <w:gridSpan w:val="3"/>
            <w:vAlign w:val="center"/>
            <w:hideMark/>
          </w:tcPr>
          <w:p w14:paraId="5BC5A45C" w14:textId="77777777" w:rsidR="00975F83" w:rsidRDefault="007018A3">
            <w:r>
              <w:t> </w:t>
            </w:r>
          </w:p>
        </w:tc>
        <w:tc>
          <w:tcPr>
            <w:tcW w:w="142" w:type="dxa"/>
            <w:vAlign w:val="center"/>
            <w:hideMark/>
          </w:tcPr>
          <w:p w14:paraId="483F56BB" w14:textId="77777777" w:rsidR="00975F83" w:rsidRDefault="007018A3">
            <w:r>
              <w:t> </w:t>
            </w:r>
          </w:p>
        </w:tc>
      </w:tr>
      <w:tr w:rsidR="00975F83" w14:paraId="3C023D12" w14:textId="77777777">
        <w:trPr>
          <w:gridAfter w:val="3"/>
          <w:wAfter w:w="4343" w:type="dxa"/>
        </w:trPr>
        <w:tc>
          <w:tcPr>
            <w:tcW w:w="10656" w:type="dxa"/>
            <w:gridSpan w:val="6"/>
            <w:shd w:val="clear" w:color="auto" w:fill="FFFF00"/>
            <w:tcMar>
              <w:top w:w="0" w:type="dxa"/>
              <w:left w:w="108" w:type="dxa"/>
              <w:bottom w:w="0" w:type="dxa"/>
              <w:right w:w="108" w:type="dxa"/>
            </w:tcMar>
            <w:hideMark/>
          </w:tcPr>
          <w:p w14:paraId="30C6218F" w14:textId="77777777" w:rsidR="00975F83" w:rsidRDefault="007018A3">
            <w:pPr>
              <w:spacing w:line="360" w:lineRule="auto"/>
            </w:pPr>
            <w:bookmarkStart w:id="14" w:name="refs"/>
            <w:bookmarkEnd w:id="14"/>
            <w:r>
              <w:rPr>
                <w:b/>
                <w:bCs/>
              </w:rPr>
              <w:t>REFERENCES</w:t>
            </w:r>
          </w:p>
        </w:tc>
      </w:tr>
      <w:tr w:rsidR="00975F83" w14:paraId="06C716BE" w14:textId="77777777">
        <w:trPr>
          <w:gridAfter w:val="3"/>
          <w:wAfter w:w="4343" w:type="dxa"/>
        </w:trPr>
        <w:tc>
          <w:tcPr>
            <w:tcW w:w="10656" w:type="dxa"/>
            <w:gridSpan w:val="6"/>
            <w:tcMar>
              <w:top w:w="0" w:type="dxa"/>
              <w:left w:w="108" w:type="dxa"/>
              <w:bottom w:w="0" w:type="dxa"/>
              <w:right w:w="108" w:type="dxa"/>
            </w:tcMar>
            <w:hideMark/>
          </w:tcPr>
          <w:p w14:paraId="3CEDB860" w14:textId="77777777" w:rsidR="00975F83" w:rsidRDefault="007018A3">
            <w:pPr>
              <w:pStyle w:val="List"/>
              <w:spacing w:line="360" w:lineRule="auto"/>
            </w:pPr>
            <w:r>
              <w:t>1.</w:t>
            </w:r>
            <w:r>
              <w:rPr>
                <w:rFonts w:ascii="Times New Roman" w:hAnsi="Times New Roman" w:cs="Times New Roman"/>
                <w:sz w:val="14"/>
                <w:szCs w:val="14"/>
              </w:rPr>
              <w:t xml:space="preserve">         </w:t>
            </w:r>
            <w:proofErr w:type="spellStart"/>
            <w:r>
              <w:t>Metlay</w:t>
            </w:r>
            <w:proofErr w:type="spellEnd"/>
            <w:r>
              <w:t xml:space="preserve"> JP, Waterer GW, Long AC, et al.  Diagnosis and treatment of adults with community-acquired pneumonia: an official clinical practice guideline of the American Thoracic Society and Infectious Diseases Society of America. Am J Resp </w:t>
            </w:r>
            <w:proofErr w:type="spellStart"/>
            <w:r>
              <w:t>Crit</w:t>
            </w:r>
            <w:proofErr w:type="spellEnd"/>
            <w:r>
              <w:t xml:space="preserve"> Care Med 2019; 200(7</w:t>
            </w:r>
            <w:proofErr w:type="gramStart"/>
            <w:r>
              <w:t>):e</w:t>
            </w:r>
            <w:proofErr w:type="gramEnd"/>
            <w:r>
              <w:t>45-67.</w:t>
            </w:r>
            <w:r>
              <w:rPr>
                <w:rFonts w:ascii="Univers-CondensedBold" w:hAnsi="Univers-CondensedBold"/>
                <w:b/>
                <w:bCs/>
                <w:sz w:val="14"/>
                <w:szCs w:val="14"/>
              </w:rPr>
              <w:t xml:space="preserve">  </w:t>
            </w:r>
          </w:p>
        </w:tc>
      </w:tr>
      <w:tr w:rsidR="00975F83" w14:paraId="4B65169B" w14:textId="77777777">
        <w:trPr>
          <w:gridAfter w:val="3"/>
          <w:wAfter w:w="4343" w:type="dxa"/>
        </w:trPr>
        <w:tc>
          <w:tcPr>
            <w:tcW w:w="10656" w:type="dxa"/>
            <w:gridSpan w:val="6"/>
            <w:tcMar>
              <w:top w:w="0" w:type="dxa"/>
              <w:left w:w="108" w:type="dxa"/>
              <w:bottom w:w="0" w:type="dxa"/>
              <w:right w:w="108" w:type="dxa"/>
            </w:tcMar>
            <w:hideMark/>
          </w:tcPr>
          <w:p w14:paraId="1EC01EAA" w14:textId="77777777" w:rsidR="00975F83" w:rsidRDefault="007018A3">
            <w:pPr>
              <w:pStyle w:val="List"/>
              <w:spacing w:line="360" w:lineRule="auto"/>
            </w:pPr>
            <w:r>
              <w:t>2.</w:t>
            </w:r>
            <w:r>
              <w:rPr>
                <w:rFonts w:ascii="Times New Roman" w:hAnsi="Times New Roman" w:cs="Times New Roman"/>
                <w:sz w:val="14"/>
                <w:szCs w:val="14"/>
              </w:rPr>
              <w:t>       </w:t>
            </w:r>
            <w:proofErr w:type="spellStart"/>
            <w:r>
              <w:t>Kalil</w:t>
            </w:r>
            <w:proofErr w:type="spellEnd"/>
            <w:r>
              <w:t xml:space="preserve"> AC, </w:t>
            </w:r>
            <w:proofErr w:type="spellStart"/>
            <w:r>
              <w:t>Metersky</w:t>
            </w:r>
            <w:proofErr w:type="spellEnd"/>
            <w:r>
              <w:t xml:space="preserve"> ML, </w:t>
            </w:r>
            <w:proofErr w:type="spellStart"/>
            <w:r>
              <w:t>Klompas</w:t>
            </w:r>
            <w:proofErr w:type="spellEnd"/>
            <w:r>
              <w:t xml:space="preserve"> M, et al. Management of adults with hospital-acquired and ventilator-associated pneumonia: 2016 clinical practice guidelines by the Infectious Diseases Society of America and the American Thoracic Society.  Clin Infect Dis 2016; 63(5</w:t>
            </w:r>
            <w:proofErr w:type="gramStart"/>
            <w:r>
              <w:t>):e</w:t>
            </w:r>
            <w:proofErr w:type="gramEnd"/>
            <w:r>
              <w:t>61-e111.   </w:t>
            </w:r>
          </w:p>
        </w:tc>
      </w:tr>
      <w:tr w:rsidR="00975F83" w14:paraId="0F889011" w14:textId="77777777">
        <w:trPr>
          <w:gridAfter w:val="3"/>
          <w:wAfter w:w="4343" w:type="dxa"/>
        </w:trPr>
        <w:tc>
          <w:tcPr>
            <w:tcW w:w="10656" w:type="dxa"/>
            <w:gridSpan w:val="6"/>
            <w:tcMar>
              <w:top w:w="0" w:type="dxa"/>
              <w:left w:w="108" w:type="dxa"/>
              <w:bottom w:w="0" w:type="dxa"/>
              <w:right w:w="108" w:type="dxa"/>
            </w:tcMar>
            <w:hideMark/>
          </w:tcPr>
          <w:p w14:paraId="002110A7" w14:textId="77777777" w:rsidR="00975F83" w:rsidRDefault="007018A3">
            <w:pPr>
              <w:pStyle w:val="List"/>
              <w:spacing w:line="360" w:lineRule="auto"/>
            </w:pPr>
            <w:r>
              <w:t>3.</w:t>
            </w:r>
            <w:r>
              <w:rPr>
                <w:rFonts w:ascii="Times New Roman" w:hAnsi="Times New Roman" w:cs="Times New Roman"/>
                <w:sz w:val="14"/>
                <w:szCs w:val="14"/>
              </w:rPr>
              <w:t>        </w:t>
            </w:r>
            <w:proofErr w:type="spellStart"/>
            <w:r>
              <w:t>Aujesky</w:t>
            </w:r>
            <w:proofErr w:type="spellEnd"/>
            <w:r>
              <w:t xml:space="preserve"> D, </w:t>
            </w:r>
            <w:proofErr w:type="spellStart"/>
            <w:r>
              <w:t>Auble</w:t>
            </w:r>
            <w:proofErr w:type="spellEnd"/>
            <w:r>
              <w:t xml:space="preserve"> TE, </w:t>
            </w:r>
            <w:proofErr w:type="spellStart"/>
            <w:r>
              <w:t>Yealy</w:t>
            </w:r>
            <w:proofErr w:type="spellEnd"/>
            <w:r>
              <w:t xml:space="preserve"> DM, et al. Prospective comparison of three validated prediction rules for prognosis in community-acquired pneumonia. Am J Med 2005: 118:384-92.</w:t>
            </w:r>
          </w:p>
        </w:tc>
      </w:tr>
      <w:tr w:rsidR="00975F83" w14:paraId="285C10A8" w14:textId="77777777">
        <w:trPr>
          <w:gridAfter w:val="3"/>
          <w:wAfter w:w="4343" w:type="dxa"/>
        </w:trPr>
        <w:tc>
          <w:tcPr>
            <w:tcW w:w="10656" w:type="dxa"/>
            <w:gridSpan w:val="6"/>
            <w:tcMar>
              <w:top w:w="0" w:type="dxa"/>
              <w:left w:w="108" w:type="dxa"/>
              <w:bottom w:w="0" w:type="dxa"/>
              <w:right w:w="108" w:type="dxa"/>
            </w:tcMar>
            <w:hideMark/>
          </w:tcPr>
          <w:p w14:paraId="050B94E7" w14:textId="77777777" w:rsidR="00975F83" w:rsidRDefault="007018A3">
            <w:pPr>
              <w:pStyle w:val="List"/>
              <w:spacing w:line="360" w:lineRule="auto"/>
            </w:pPr>
            <w:r>
              <w:t>4.</w:t>
            </w:r>
            <w:r>
              <w:rPr>
                <w:rFonts w:ascii="Times New Roman" w:hAnsi="Times New Roman" w:cs="Times New Roman"/>
                <w:sz w:val="14"/>
                <w:szCs w:val="14"/>
              </w:rPr>
              <w:t xml:space="preserve">         </w:t>
            </w:r>
            <w:proofErr w:type="spellStart"/>
            <w:r>
              <w:t>Metlay</w:t>
            </w:r>
            <w:proofErr w:type="spellEnd"/>
            <w:r>
              <w:t xml:space="preserve"> JP, Kapoor WN, Fine MJ.  Does this patient have community-acquired pneumonia?  Diagnosing pneumonia by history and physical examination.  JAMA.  1997; 278:1440-1445.</w:t>
            </w:r>
          </w:p>
        </w:tc>
      </w:tr>
      <w:tr w:rsidR="00975F83" w14:paraId="0786FBE1" w14:textId="77777777">
        <w:trPr>
          <w:gridAfter w:val="3"/>
          <w:wAfter w:w="4343" w:type="dxa"/>
        </w:trPr>
        <w:tc>
          <w:tcPr>
            <w:tcW w:w="10656" w:type="dxa"/>
            <w:gridSpan w:val="6"/>
            <w:tcMar>
              <w:top w:w="0" w:type="dxa"/>
              <w:left w:w="108" w:type="dxa"/>
              <w:bottom w:w="0" w:type="dxa"/>
              <w:right w:w="108" w:type="dxa"/>
            </w:tcMar>
            <w:hideMark/>
          </w:tcPr>
          <w:p w14:paraId="6EF7C58A" w14:textId="77777777" w:rsidR="00975F83" w:rsidRDefault="007018A3">
            <w:pPr>
              <w:pStyle w:val="List"/>
              <w:spacing w:line="360" w:lineRule="auto"/>
            </w:pPr>
            <w:r>
              <w:t>5.</w:t>
            </w:r>
            <w:r>
              <w:rPr>
                <w:rFonts w:ascii="Times New Roman" w:hAnsi="Times New Roman" w:cs="Times New Roman"/>
                <w:sz w:val="14"/>
                <w:szCs w:val="14"/>
              </w:rPr>
              <w:t xml:space="preserve">        </w:t>
            </w:r>
            <w:r>
              <w:t>Heckerling PS, Tape TG, Wigton RS, et al.  Clinical prediction rule for pulmonary infiltrates.  Ann Intern Med.  1990; 113:664-670.</w:t>
            </w:r>
          </w:p>
          <w:p w14:paraId="3262409C" w14:textId="77777777" w:rsidR="00975F83" w:rsidRDefault="007018A3">
            <w:pPr>
              <w:pStyle w:val="List"/>
              <w:spacing w:line="360" w:lineRule="auto"/>
            </w:pPr>
            <w:r>
              <w:t xml:space="preserve">6.     </w:t>
            </w:r>
            <w:proofErr w:type="spellStart"/>
            <w:r>
              <w:t>Shindo</w:t>
            </w:r>
            <w:proofErr w:type="spellEnd"/>
            <w:r>
              <w:t xml:space="preserve"> Y, Ito R, Kobayashi D, et al. Risk Factors for drug-resistant pathogens in community-acquired and healthcare-associated pneumonia. Am J Respir </w:t>
            </w:r>
            <w:proofErr w:type="spellStart"/>
            <w:r>
              <w:t>Crit</w:t>
            </w:r>
            <w:proofErr w:type="spellEnd"/>
            <w:r>
              <w:t xml:space="preserve"> Care Med 2013;188(8):985–995.</w:t>
            </w:r>
          </w:p>
          <w:p w14:paraId="7E5575B6" w14:textId="77777777" w:rsidR="00975F83" w:rsidRDefault="007018A3">
            <w:pPr>
              <w:pStyle w:val="List"/>
              <w:spacing w:line="360" w:lineRule="auto"/>
            </w:pPr>
            <w:r>
              <w:t xml:space="preserve">7.     Mergenhagen KA, Starr KE, </w:t>
            </w:r>
            <w:proofErr w:type="spellStart"/>
            <w:r>
              <w:t>Wattengel</w:t>
            </w:r>
            <w:proofErr w:type="spellEnd"/>
            <w:r>
              <w:t xml:space="preserve"> BA, et al. Determining the utility of methicillin-resistant </w:t>
            </w:r>
            <w:r>
              <w:rPr>
                <w:i/>
              </w:rPr>
              <w:t xml:space="preserve">Staphylococcus aureus </w:t>
            </w:r>
            <w:r>
              <w:t xml:space="preserve">nares screening in antimicrobial stewardship. Clin Infect Dis 2019 Oct 1. </w:t>
            </w:r>
            <w:proofErr w:type="spellStart"/>
            <w:r>
              <w:t>pii</w:t>
            </w:r>
            <w:proofErr w:type="spellEnd"/>
            <w:r>
              <w:t xml:space="preserve">: ciz974. </w:t>
            </w:r>
            <w:proofErr w:type="spellStart"/>
            <w:r>
              <w:t>doi</w:t>
            </w:r>
            <w:proofErr w:type="spellEnd"/>
            <w:r>
              <w:t>: 10.1093/</w:t>
            </w:r>
            <w:proofErr w:type="spellStart"/>
            <w:r>
              <w:t>cid</w:t>
            </w:r>
            <w:proofErr w:type="spellEnd"/>
            <w:r>
              <w:t>/ciz974.</w:t>
            </w:r>
          </w:p>
          <w:p w14:paraId="2F91CD8A" w14:textId="77777777" w:rsidR="00975F83" w:rsidRDefault="007018A3">
            <w:pPr>
              <w:pStyle w:val="List"/>
              <w:spacing w:line="360" w:lineRule="auto"/>
            </w:pPr>
            <w:r>
              <w:t xml:space="preserve">8.     Jones M, Huttner B, </w:t>
            </w:r>
            <w:proofErr w:type="spellStart"/>
            <w:r>
              <w:t>Leecaster</w:t>
            </w:r>
            <w:proofErr w:type="spellEnd"/>
            <w:r>
              <w:t xml:space="preserve"> M, et al. Does universal active MRSA surveillance influence anti-MRSA antibiotic use? A retrospective analysis of the treatment of patients admitted with suspicion of infection at Veterans Affairs Medical Centers between 2005 and 2010. J </w:t>
            </w:r>
            <w:proofErr w:type="spellStart"/>
            <w:r>
              <w:t>Antimicrob</w:t>
            </w:r>
            <w:proofErr w:type="spellEnd"/>
            <w:r>
              <w:t xml:space="preserve"> Chemother. 2014 Dec;69(12):3401-8.</w:t>
            </w:r>
          </w:p>
        </w:tc>
      </w:tr>
      <w:tr w:rsidR="00975F83" w14:paraId="369F04D0" w14:textId="77777777">
        <w:trPr>
          <w:gridAfter w:val="3"/>
          <w:wAfter w:w="4343" w:type="dxa"/>
        </w:trPr>
        <w:tc>
          <w:tcPr>
            <w:tcW w:w="10656" w:type="dxa"/>
            <w:gridSpan w:val="6"/>
            <w:tcMar>
              <w:top w:w="0" w:type="dxa"/>
              <w:left w:w="108" w:type="dxa"/>
              <w:bottom w:w="0" w:type="dxa"/>
              <w:right w:w="108" w:type="dxa"/>
            </w:tcMar>
          </w:tcPr>
          <w:p w14:paraId="6079AAEC" w14:textId="77777777" w:rsidR="00975F83" w:rsidRDefault="00975F83">
            <w:pPr>
              <w:pStyle w:val="List"/>
              <w:spacing w:line="360" w:lineRule="auto"/>
              <w:ind w:left="0" w:firstLine="0"/>
            </w:pPr>
          </w:p>
        </w:tc>
      </w:tr>
      <w:tr w:rsidR="00975F83" w14:paraId="47D713E4" w14:textId="77777777">
        <w:trPr>
          <w:gridAfter w:val="3"/>
          <w:wAfter w:w="4343" w:type="dxa"/>
        </w:trPr>
        <w:tc>
          <w:tcPr>
            <w:tcW w:w="10656" w:type="dxa"/>
            <w:gridSpan w:val="6"/>
            <w:tcMar>
              <w:top w:w="0" w:type="dxa"/>
              <w:left w:w="108" w:type="dxa"/>
              <w:bottom w:w="0" w:type="dxa"/>
              <w:right w:w="108" w:type="dxa"/>
            </w:tcMar>
            <w:hideMark/>
          </w:tcPr>
          <w:p w14:paraId="0D887AAE" w14:textId="60CACEE5" w:rsidR="00975F83" w:rsidRDefault="00C7388B" w:rsidP="00C7388B">
            <w:pPr>
              <w:pStyle w:val="ListBullet"/>
              <w:spacing w:line="360" w:lineRule="auto"/>
              <w:ind w:left="0" w:firstLine="0"/>
            </w:pPr>
            <w:r>
              <w:t>[</w:t>
            </w:r>
            <w:hyperlink w:anchor="_top" w:history="1">
              <w:r w:rsidRPr="00C7388B">
                <w:rPr>
                  <w:rStyle w:val="Hyperlink"/>
                </w:rPr>
                <w:t>back to top</w:t>
              </w:r>
            </w:hyperlink>
            <w:r>
              <w:t>]</w:t>
            </w:r>
          </w:p>
        </w:tc>
      </w:tr>
      <w:tr w:rsidR="00975F83" w14:paraId="54A6660F" w14:textId="77777777">
        <w:trPr>
          <w:gridAfter w:val="3"/>
          <w:wAfter w:w="4343" w:type="dxa"/>
        </w:trPr>
        <w:tc>
          <w:tcPr>
            <w:tcW w:w="10656" w:type="dxa"/>
            <w:gridSpan w:val="6"/>
            <w:tcMar>
              <w:top w:w="0" w:type="dxa"/>
              <w:left w:w="108" w:type="dxa"/>
              <w:bottom w:w="0" w:type="dxa"/>
              <w:right w:w="108" w:type="dxa"/>
            </w:tcMar>
            <w:hideMark/>
          </w:tcPr>
          <w:p w14:paraId="2122F1E3" w14:textId="77777777" w:rsidR="00975F83" w:rsidRDefault="007018A3">
            <w:pPr>
              <w:spacing w:line="360" w:lineRule="auto"/>
            </w:pPr>
            <w:r>
              <w:t> </w:t>
            </w:r>
          </w:p>
        </w:tc>
      </w:tr>
      <w:tr w:rsidR="00975F83" w14:paraId="17A86EC6" w14:textId="77777777">
        <w:trPr>
          <w:gridAfter w:val="3"/>
          <w:wAfter w:w="4343" w:type="dxa"/>
        </w:trPr>
        <w:tc>
          <w:tcPr>
            <w:tcW w:w="10656" w:type="dxa"/>
            <w:gridSpan w:val="6"/>
            <w:tcMar>
              <w:top w:w="0" w:type="dxa"/>
              <w:left w:w="108" w:type="dxa"/>
              <w:bottom w:w="0" w:type="dxa"/>
              <w:right w:w="108" w:type="dxa"/>
            </w:tcMar>
            <w:hideMark/>
          </w:tcPr>
          <w:p w14:paraId="0EA62A10" w14:textId="77777777" w:rsidR="00975F83" w:rsidRDefault="007018A3">
            <w:pPr>
              <w:spacing w:line="360" w:lineRule="auto"/>
            </w:pPr>
            <w:r>
              <w:rPr>
                <w:b/>
                <w:bCs/>
              </w:rPr>
              <w:t>+++++++++++++++</w:t>
            </w:r>
          </w:p>
        </w:tc>
      </w:tr>
      <w:tr w:rsidR="00975F83" w14:paraId="4223678C" w14:textId="77777777">
        <w:trPr>
          <w:gridAfter w:val="3"/>
          <w:wAfter w:w="4343" w:type="dxa"/>
        </w:trPr>
        <w:tc>
          <w:tcPr>
            <w:tcW w:w="10656" w:type="dxa"/>
            <w:gridSpan w:val="6"/>
            <w:tcMar>
              <w:top w:w="0" w:type="dxa"/>
              <w:left w:w="108" w:type="dxa"/>
              <w:bottom w:w="0" w:type="dxa"/>
              <w:right w:w="108" w:type="dxa"/>
            </w:tcMar>
            <w:hideMark/>
          </w:tcPr>
          <w:p w14:paraId="33AE55EE" w14:textId="481807E9" w:rsidR="00975F83" w:rsidRDefault="007018A3">
            <w:pPr>
              <w:pStyle w:val="Heading2"/>
              <w:spacing w:line="360" w:lineRule="auto"/>
              <w:ind w:left="0" w:firstLine="0"/>
              <w:rPr>
                <w:rFonts w:eastAsia="Times New Roman"/>
              </w:rPr>
            </w:pPr>
            <w:r>
              <w:rPr>
                <w:rFonts w:eastAsia="Times New Roman"/>
              </w:rPr>
              <w:t>Last modified 10/</w:t>
            </w:r>
            <w:r w:rsidR="00BA308E">
              <w:rPr>
                <w:rFonts w:eastAsia="Times New Roman"/>
              </w:rPr>
              <w:t>22</w:t>
            </w:r>
            <w:r>
              <w:rPr>
                <w:rFonts w:eastAsia="Times New Roman"/>
              </w:rPr>
              <w:t>/2019</w:t>
            </w:r>
          </w:p>
        </w:tc>
      </w:tr>
      <w:tr w:rsidR="00975F83" w14:paraId="671C580C" w14:textId="77777777">
        <w:trPr>
          <w:gridAfter w:val="3"/>
          <w:wAfter w:w="4343" w:type="dxa"/>
        </w:trPr>
        <w:tc>
          <w:tcPr>
            <w:tcW w:w="10656" w:type="dxa"/>
            <w:gridSpan w:val="6"/>
            <w:tcMar>
              <w:top w:w="0" w:type="dxa"/>
              <w:left w:w="108" w:type="dxa"/>
              <w:bottom w:w="0" w:type="dxa"/>
              <w:right w:w="108" w:type="dxa"/>
            </w:tcMar>
            <w:hideMark/>
          </w:tcPr>
          <w:p w14:paraId="634848C3" w14:textId="77777777" w:rsidR="00975F83" w:rsidRDefault="007018A3">
            <w:pPr>
              <w:spacing w:line="360" w:lineRule="auto"/>
            </w:pPr>
            <w:r>
              <w:t>Authors: Christopher Graber, MD MPH and the Infectious Diseases Section, VA Greater Los Angeles Healthcare System</w:t>
            </w:r>
          </w:p>
        </w:tc>
      </w:tr>
    </w:tbl>
    <w:p w14:paraId="456AC430" w14:textId="5F70078C" w:rsidR="007018A3" w:rsidRDefault="007018A3">
      <w:pPr>
        <w:spacing w:line="360" w:lineRule="auto"/>
      </w:pPr>
    </w:p>
    <w:sectPr w:rsidR="007018A3">
      <w:pgSz w:w="15840" w:h="12240"/>
      <w:pgMar w:top="1440" w:right="39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AA1664"/>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B41AC64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E30F14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29A0489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C1C89A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F72BE6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34A135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24C6C"/>
    <w:multiLevelType w:val="hybridMultilevel"/>
    <w:tmpl w:val="36B0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FF0"/>
    <w:multiLevelType w:val="hybridMultilevel"/>
    <w:tmpl w:val="A77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BAA"/>
    <w:multiLevelType w:val="hybridMultilevel"/>
    <w:tmpl w:val="707815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B5A4F"/>
    <w:multiLevelType w:val="hybridMultilevel"/>
    <w:tmpl w:val="ACF24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C142E"/>
    <w:multiLevelType w:val="hybridMultilevel"/>
    <w:tmpl w:val="D988B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33CAF"/>
    <w:multiLevelType w:val="hybridMultilevel"/>
    <w:tmpl w:val="9A5AD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CA"/>
    <w:rsid w:val="00024F29"/>
    <w:rsid w:val="000B63F7"/>
    <w:rsid w:val="000D6EEC"/>
    <w:rsid w:val="001344E9"/>
    <w:rsid w:val="00137FE0"/>
    <w:rsid w:val="001D78BF"/>
    <w:rsid w:val="00335AE1"/>
    <w:rsid w:val="00464EB9"/>
    <w:rsid w:val="004D443B"/>
    <w:rsid w:val="004F5865"/>
    <w:rsid w:val="004F720A"/>
    <w:rsid w:val="0055027E"/>
    <w:rsid w:val="006E1F30"/>
    <w:rsid w:val="007018A3"/>
    <w:rsid w:val="007050CB"/>
    <w:rsid w:val="00723C4B"/>
    <w:rsid w:val="007300FC"/>
    <w:rsid w:val="00816ACA"/>
    <w:rsid w:val="00877A37"/>
    <w:rsid w:val="008A4060"/>
    <w:rsid w:val="008B63DE"/>
    <w:rsid w:val="008C09E1"/>
    <w:rsid w:val="008F2904"/>
    <w:rsid w:val="00905DBE"/>
    <w:rsid w:val="00975F83"/>
    <w:rsid w:val="009E692E"/>
    <w:rsid w:val="00A9154F"/>
    <w:rsid w:val="00A936E9"/>
    <w:rsid w:val="00B22B12"/>
    <w:rsid w:val="00BA308E"/>
    <w:rsid w:val="00BD72B3"/>
    <w:rsid w:val="00C0305C"/>
    <w:rsid w:val="00C05835"/>
    <w:rsid w:val="00C610AF"/>
    <w:rsid w:val="00C7388B"/>
    <w:rsid w:val="00D22E74"/>
    <w:rsid w:val="00D349B0"/>
    <w:rsid w:val="00E87268"/>
    <w:rsid w:val="00F544BD"/>
    <w:rsid w:val="00F8487B"/>
    <w:rsid w:val="00F870BA"/>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7207B"/>
  <w15:chartTrackingRefBased/>
  <w15:docId w15:val="{CDBE5236-E41F-4B7A-8AE6-EEB15A77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1">
    <w:name w:val="heading 1"/>
    <w:basedOn w:val="Normal"/>
    <w:link w:val="Heading1Char"/>
    <w:uiPriority w:val="9"/>
    <w:qFormat/>
    <w:pPr>
      <w:ind w:left="432" w:hanging="432"/>
      <w:outlineLvl w:val="0"/>
    </w:pPr>
    <w:rPr>
      <w:rFonts w:eastAsiaTheme="minorEastAsia"/>
      <w:kern w:val="36"/>
    </w:rPr>
  </w:style>
  <w:style w:type="paragraph" w:styleId="Heading2">
    <w:name w:val="heading 2"/>
    <w:basedOn w:val="Normal"/>
    <w:link w:val="Heading2Char"/>
    <w:uiPriority w:val="9"/>
    <w:qFormat/>
    <w:pPr>
      <w:ind w:left="432" w:hanging="432"/>
      <w:outlineLvl w:val="1"/>
    </w:pPr>
    <w:rPr>
      <w:rFonts w:eastAsiaTheme="minorEastAsia"/>
    </w:rPr>
  </w:style>
  <w:style w:type="paragraph" w:styleId="Heading3">
    <w:name w:val="heading 3"/>
    <w:basedOn w:val="Normal"/>
    <w:link w:val="Heading3Char"/>
    <w:uiPriority w:val="9"/>
    <w:qFormat/>
    <w:pPr>
      <w:ind w:left="864" w:hanging="432"/>
      <w:outlineLvl w:val="2"/>
    </w:pPr>
    <w:rPr>
      <w:rFonts w:eastAsiaTheme="minorEastAsia"/>
    </w:rPr>
  </w:style>
  <w:style w:type="paragraph" w:styleId="Heading4">
    <w:name w:val="heading 4"/>
    <w:basedOn w:val="Normal"/>
    <w:link w:val="Heading4Char"/>
    <w:uiPriority w:val="9"/>
    <w:qFormat/>
    <w:pPr>
      <w:ind w:left="1296" w:hanging="432"/>
      <w:outlineLvl w:val="3"/>
    </w:pPr>
    <w:rPr>
      <w:rFonts w:eastAsiaTheme="minorEastAsia"/>
    </w:rPr>
  </w:style>
  <w:style w:type="paragraph" w:styleId="Heading5">
    <w:name w:val="heading 5"/>
    <w:basedOn w:val="Normal"/>
    <w:link w:val="Heading5Char"/>
    <w:uiPriority w:val="9"/>
    <w:qFormat/>
    <w:pPr>
      <w:ind w:left="1728" w:hanging="432"/>
      <w:outlineLvl w:val="4"/>
    </w:pPr>
    <w:rPr>
      <w:rFonts w:eastAsiaTheme="minorEastAsia"/>
    </w:rPr>
  </w:style>
  <w:style w:type="paragraph" w:styleId="Heading6">
    <w:name w:val="heading 6"/>
    <w:basedOn w:val="Normal"/>
    <w:link w:val="Heading6Char"/>
    <w:uiPriority w:val="9"/>
    <w:qFormat/>
    <w:pPr>
      <w:ind w:left="2160" w:hanging="432"/>
      <w:outlineLvl w:val="5"/>
    </w:pPr>
    <w:rPr>
      <w:rFonts w:eastAsiaTheme="minorEastAsia"/>
    </w:rPr>
  </w:style>
  <w:style w:type="paragraph" w:styleId="Heading7">
    <w:name w:val="heading 7"/>
    <w:basedOn w:val="Normal"/>
    <w:link w:val="Heading7Char"/>
    <w:uiPriority w:val="9"/>
    <w:semiHidden/>
    <w:qFormat/>
    <w:pPr>
      <w:spacing w:line="240" w:lineRule="atLeast"/>
      <w:ind w:left="2592" w:hanging="432"/>
      <w:outlineLvl w:val="6"/>
    </w:pPr>
    <w:rPr>
      <w:rFonts w:ascii="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locked/>
    <w:rPr>
      <w:rFonts w:ascii="Cambria" w:eastAsia="Times New Roman" w:hAnsi="Cambria" w:cs="Times New Roman" w:hint="default"/>
      <w:b/>
      <w:bCs/>
      <w:color w:val="4F81BD"/>
    </w:rPr>
  </w:style>
  <w:style w:type="character" w:customStyle="1" w:styleId="Heading4Char">
    <w:name w:val="Heading 4 Char"/>
    <w:link w:val="Heading4"/>
    <w:uiPriority w:val="9"/>
    <w:locked/>
    <w:rPr>
      <w:rFonts w:ascii="Cambria" w:eastAsia="Times New Roman" w:hAnsi="Cambria" w:cs="Times New Roman" w:hint="default"/>
      <w:b/>
      <w:bCs/>
      <w:i/>
      <w:iCs/>
      <w:color w:val="4F81BD"/>
    </w:rPr>
  </w:style>
  <w:style w:type="character" w:customStyle="1" w:styleId="Heading5Char">
    <w:name w:val="Heading 5 Char"/>
    <w:link w:val="Heading5"/>
    <w:uiPriority w:val="9"/>
    <w:semiHidden/>
    <w:locked/>
    <w:rPr>
      <w:rFonts w:ascii="Cambria" w:eastAsia="Times New Roman" w:hAnsi="Cambria" w:cs="Times New Roman" w:hint="default"/>
      <w:color w:val="243F60"/>
    </w:rPr>
  </w:style>
  <w:style w:type="character" w:customStyle="1" w:styleId="Heading6Char">
    <w:name w:val="Heading 6 Char"/>
    <w:link w:val="Heading6"/>
    <w:uiPriority w:val="9"/>
    <w:semiHidden/>
    <w:locked/>
    <w:rPr>
      <w:rFonts w:ascii="Cambria" w:eastAsia="Times New Roman" w:hAnsi="Cambria" w:cs="Times New Roman" w:hint="default"/>
      <w:i/>
      <w:iCs/>
      <w:color w:val="243F6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Heading7Char">
    <w:name w:val="Heading 7 Char"/>
    <w:link w:val="Heading7"/>
    <w:uiPriority w:val="9"/>
    <w:semiHidden/>
    <w:locked/>
    <w:rPr>
      <w:rFonts w:ascii="Cambria" w:eastAsia="Times New Roman" w:hAnsi="Cambria" w:cs="Times New Roman" w:hint="default"/>
      <w:i/>
      <w:iCs/>
      <w:color w:val="404040"/>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Arial" w:hAnsi="Arial" w:cs="Arial" w:hint="default"/>
    </w:rPr>
  </w:style>
  <w:style w:type="paragraph" w:styleId="Header">
    <w:name w:val="header"/>
    <w:basedOn w:val="Normal"/>
    <w:link w:val="HeaderChar"/>
    <w:uiPriority w:val="99"/>
    <w:semiHidden/>
    <w:unhideWhenUsed/>
    <w:pPr>
      <w:jc w:val="center"/>
    </w:pPr>
  </w:style>
  <w:style w:type="character" w:customStyle="1" w:styleId="HeaderChar">
    <w:name w:val="Header Char"/>
    <w:link w:val="Header"/>
    <w:uiPriority w:val="99"/>
    <w:semiHidden/>
    <w:locked/>
    <w:rPr>
      <w:rFonts w:ascii="Arial" w:eastAsia="Times New Roman" w:hAnsi="Arial" w:cs="Arial" w:hint="default"/>
    </w:rPr>
  </w:style>
  <w:style w:type="paragraph" w:styleId="Footer">
    <w:name w:val="footer"/>
    <w:basedOn w:val="Normal"/>
    <w:link w:val="FooterChar"/>
    <w:uiPriority w:val="99"/>
    <w:semiHidden/>
    <w:unhideWhenUsed/>
  </w:style>
  <w:style w:type="character" w:customStyle="1" w:styleId="FooterChar">
    <w:name w:val="Footer Char"/>
    <w:link w:val="Footer"/>
    <w:uiPriority w:val="99"/>
    <w:semiHidden/>
    <w:locked/>
    <w:rPr>
      <w:rFonts w:ascii="Arial" w:eastAsia="Times New Roman" w:hAnsi="Arial" w:cs="Arial" w:hint="default"/>
    </w:rPr>
  </w:style>
  <w:style w:type="paragraph" w:styleId="List">
    <w:name w:val="List"/>
    <w:basedOn w:val="Normal"/>
    <w:uiPriority w:val="99"/>
    <w:semiHidden/>
    <w:unhideWhenUsed/>
    <w:pPr>
      <w:ind w:left="432" w:hanging="432"/>
    </w:pPr>
  </w:style>
  <w:style w:type="paragraph" w:styleId="ListBullet">
    <w:name w:val="List Bullet"/>
    <w:basedOn w:val="Normal"/>
    <w:uiPriority w:val="99"/>
    <w:unhideWhenUsed/>
    <w:pPr>
      <w:ind w:left="432" w:hanging="432"/>
    </w:pPr>
  </w:style>
  <w:style w:type="paragraph" w:styleId="ListNumber">
    <w:name w:val="List Number"/>
    <w:basedOn w:val="Normal"/>
    <w:uiPriority w:val="99"/>
    <w:semiHidden/>
    <w:unhideWhenUsed/>
    <w:pPr>
      <w:ind w:left="432" w:hanging="432"/>
    </w:pPr>
  </w:style>
  <w:style w:type="paragraph" w:styleId="List2">
    <w:name w:val="List 2"/>
    <w:basedOn w:val="Normal"/>
    <w:uiPriority w:val="99"/>
    <w:semiHidden/>
    <w:unhideWhenUsed/>
    <w:pPr>
      <w:ind w:left="864" w:hanging="432"/>
    </w:pPr>
  </w:style>
  <w:style w:type="paragraph" w:styleId="List3">
    <w:name w:val="List 3"/>
    <w:basedOn w:val="Normal"/>
    <w:uiPriority w:val="99"/>
    <w:semiHidden/>
    <w:unhideWhenUsed/>
    <w:pPr>
      <w:ind w:left="1584" w:hanging="360"/>
    </w:pPr>
  </w:style>
  <w:style w:type="paragraph" w:styleId="List5">
    <w:name w:val="List 5"/>
    <w:basedOn w:val="Normal"/>
    <w:uiPriority w:val="99"/>
    <w:semiHidden/>
    <w:unhideWhenUsed/>
    <w:pPr>
      <w:ind w:left="1800" w:hanging="360"/>
    </w:pPr>
  </w:style>
  <w:style w:type="paragraph" w:styleId="ListBullet2">
    <w:name w:val="List Bullet 2"/>
    <w:basedOn w:val="Normal"/>
    <w:uiPriority w:val="99"/>
    <w:unhideWhenUsed/>
    <w:pPr>
      <w:ind w:left="864" w:hanging="432"/>
    </w:pPr>
  </w:style>
  <w:style w:type="paragraph" w:styleId="ListBullet3">
    <w:name w:val="List Bullet 3"/>
    <w:basedOn w:val="Normal"/>
    <w:uiPriority w:val="99"/>
    <w:semiHidden/>
    <w:unhideWhenUsed/>
    <w:pPr>
      <w:ind w:left="1296" w:hanging="432"/>
    </w:pPr>
  </w:style>
  <w:style w:type="paragraph" w:styleId="ListBullet4">
    <w:name w:val="List Bullet 4"/>
    <w:basedOn w:val="Normal"/>
    <w:uiPriority w:val="99"/>
    <w:semiHidden/>
    <w:unhideWhenUsed/>
    <w:pPr>
      <w:ind w:left="1728" w:hanging="432"/>
    </w:pPr>
  </w:style>
  <w:style w:type="paragraph" w:styleId="ListBullet5">
    <w:name w:val="List Bullet 5"/>
    <w:basedOn w:val="Normal"/>
    <w:uiPriority w:val="99"/>
    <w:semiHidden/>
    <w:unhideWhenUsed/>
    <w:pPr>
      <w:ind w:left="2160" w:hanging="432"/>
    </w:pPr>
  </w:style>
  <w:style w:type="paragraph" w:styleId="ListNumber2">
    <w:name w:val="List Number 2"/>
    <w:basedOn w:val="Normal"/>
    <w:uiPriority w:val="99"/>
    <w:semiHidden/>
    <w:unhideWhenUsed/>
    <w:pPr>
      <w:ind w:left="720" w:hanging="360"/>
    </w:pPr>
  </w:style>
  <w:style w:type="paragraph" w:styleId="BodyText">
    <w:name w:val="Body Text"/>
    <w:basedOn w:val="Normal"/>
    <w:link w:val="BodyTextChar"/>
    <w:uiPriority w:val="99"/>
    <w:semiHidden/>
    <w:unhideWhenUsed/>
    <w:rPr>
      <w:rFonts w:ascii="Times New Roman" w:hAnsi="Times New Roman" w:cs="Times New Roman"/>
    </w:rPr>
  </w:style>
  <w:style w:type="character" w:customStyle="1" w:styleId="BodyTextChar">
    <w:name w:val="Body Text Char"/>
    <w:link w:val="BodyText"/>
    <w:uiPriority w:val="99"/>
    <w:semiHidden/>
    <w:locked/>
    <w:rPr>
      <w:rFonts w:ascii="Arial" w:eastAsia="Times New Roman" w:hAnsi="Arial" w:cs="Arial"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Arial" w:hAnsi="Arial" w:cs="Arial"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rPr>
  </w:style>
  <w:style w:type="paragraph" w:customStyle="1" w:styleId="listbullet6">
    <w:name w:val="listbullet6"/>
    <w:basedOn w:val="Normal"/>
    <w:uiPriority w:val="99"/>
    <w:semiHidden/>
    <w:pPr>
      <w:snapToGrid w:val="0"/>
      <w:ind w:left="2160" w:hanging="432"/>
    </w:pPr>
  </w:style>
  <w:style w:type="paragraph" w:customStyle="1" w:styleId="textmanuscript">
    <w:name w:val="textmanuscript"/>
    <w:basedOn w:val="Normal"/>
    <w:uiPriority w:val="99"/>
    <w:semiHidden/>
    <w:pPr>
      <w:spacing w:after="240"/>
      <w:ind w:firstLine="720"/>
    </w:pPr>
    <w:rPr>
      <w:rFonts w:ascii="Times New Roman" w:hAnsi="Times New Roman" w:cs="Times New Roman"/>
      <w:sz w:val="24"/>
      <w:szCs w:val="24"/>
    </w:rPr>
  </w:style>
  <w:style w:type="paragraph" w:customStyle="1" w:styleId="Title1">
    <w:name w:val="Title1"/>
    <w:basedOn w:val="Normal"/>
    <w:uiPriority w:val="99"/>
    <w:semiHidden/>
    <w:pPr>
      <w:spacing w:after="480" w:line="240" w:lineRule="atLeast"/>
      <w:jc w:val="center"/>
    </w:pPr>
    <w:rPr>
      <w:b/>
      <w:bCs/>
      <w:caps/>
      <w:sz w:val="24"/>
      <w:szCs w:val="24"/>
    </w:rPr>
  </w:style>
  <w:style w:type="paragraph" w:customStyle="1" w:styleId="listbullet40">
    <w:name w:val="listbullet4"/>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textmanuscriptcharchar">
    <w:name w:val="textmanuscriptcharchar"/>
    <w:basedOn w:val="Normal"/>
    <w:uiPriority w:val="99"/>
    <w:semiHidden/>
    <w:pPr>
      <w:spacing w:after="240"/>
      <w:ind w:firstLine="432"/>
    </w:pPr>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character" w:customStyle="1" w:styleId="charchar">
    <w:name w:val="charchar"/>
    <w:rPr>
      <w:rFonts w:ascii="Arial" w:hAnsi="Arial" w:cs="Arial" w:hint="default"/>
    </w:rPr>
  </w:style>
  <w:style w:type="character" w:customStyle="1" w:styleId="msoins0">
    <w:name w:val="msoins0"/>
    <w:rPr>
      <w:u w:val="single"/>
    </w:rPr>
  </w:style>
  <w:style w:type="character" w:customStyle="1" w:styleId="msodel0">
    <w:name w:val="msodel0"/>
    <w:rPr>
      <w:strike/>
      <w:color w:val="FF0000"/>
    </w:rPr>
  </w:style>
  <w:style w:type="paragraph" w:styleId="Revision">
    <w:name w:val="Revision"/>
    <w:hidden/>
    <w:uiPriority w:val="99"/>
    <w:semiHidden/>
    <w:rsid w:val="009E692E"/>
    <w:rPr>
      <w:rFonts w:ascii="Arial" w:hAnsi="Arial" w:cs="Arial"/>
    </w:rPr>
  </w:style>
  <w:style w:type="paragraph" w:styleId="ListParagraph">
    <w:name w:val="List Paragraph"/>
    <w:basedOn w:val="Normal"/>
    <w:uiPriority w:val="34"/>
    <w:qFormat/>
    <w:rsid w:val="006E1F30"/>
    <w:pPr>
      <w:ind w:left="720"/>
      <w:contextualSpacing/>
    </w:pPr>
  </w:style>
  <w:style w:type="character" w:styleId="UnresolvedMention">
    <w:name w:val="Unresolved Mention"/>
    <w:basedOn w:val="DefaultParagraphFont"/>
    <w:uiPriority w:val="99"/>
    <w:semiHidden/>
    <w:unhideWhenUsed/>
    <w:rsid w:val="00C7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calc.com/psi-port-score-pneumonia-severity-index-c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GLA Guidelines for the Diagnosis &amp; Treatment of Pneumonia</vt:lpstr>
    </vt:vector>
  </TitlesOfParts>
  <Company>Veteran Affairs</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 Guidelines for the Diagnosis &amp; Treatment of Pneumonia</dc:title>
  <dc:subject/>
  <dc:creator>Christopher J. Graber, MD MPH</dc:creator>
  <cp:keywords/>
  <dc:description/>
  <cp:lastModifiedBy>Graber, Christopher J.</cp:lastModifiedBy>
  <cp:revision>2</cp:revision>
  <dcterms:created xsi:type="dcterms:W3CDTF">2019-11-13T21:19:00Z</dcterms:created>
  <dcterms:modified xsi:type="dcterms:W3CDTF">2019-11-13T21:19:00Z</dcterms:modified>
</cp:coreProperties>
</file>