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A0A" w:rsidRPr="00EC4A45" w:rsidRDefault="005431DF" w:rsidP="00EC4A45">
      <w:pPr>
        <w:pStyle w:val="BodyText"/>
        <w:jc w:val="center"/>
        <w:rPr>
          <w:b/>
        </w:rPr>
      </w:pPr>
      <w:r w:rsidRPr="00EC4A45">
        <w:rPr>
          <w:b/>
        </w:rPr>
        <w:t>Antiretroviral Postexposure Prophylaxis After Sexual, Injection-Drug Use, or Other Nonoccupational Exposure to HIV</w:t>
      </w:r>
      <w:r w:rsidR="00B42666" w:rsidRPr="00EC4A45">
        <w:rPr>
          <w:b/>
        </w:rPr>
        <w:t xml:space="preserve"> </w:t>
      </w:r>
      <w:r w:rsidRPr="00EC4A45">
        <w:rPr>
          <w:b/>
        </w:rPr>
        <w:t>(nonoccupational post-exposure prophylaxis [</w:t>
      </w:r>
      <w:proofErr w:type="spellStart"/>
      <w:r w:rsidRPr="00EC4A45">
        <w:rPr>
          <w:b/>
        </w:rPr>
        <w:t>nPEP</w:t>
      </w:r>
      <w:proofErr w:type="spellEnd"/>
      <w:r w:rsidRPr="00EC4A45">
        <w:rPr>
          <w:b/>
        </w:rPr>
        <w:t>])</w:t>
      </w:r>
      <w:r w:rsidR="00B42666" w:rsidRPr="00EC4A45">
        <w:rPr>
          <w:b/>
        </w:rPr>
        <w:br/>
        <w:t>VA Greater Los Angeles Healthcare System</w:t>
      </w:r>
    </w:p>
    <w:p w:rsidR="00B42666" w:rsidRPr="000D46C8" w:rsidRDefault="00AC5200" w:rsidP="00983A48">
      <w:pPr>
        <w:tabs>
          <w:tab w:val="left" w:pos="-720"/>
        </w:tabs>
        <w:jc w:val="center"/>
        <w:rPr>
          <w:rStyle w:val="bold"/>
          <w:rFonts w:asciiTheme="minorHAnsi" w:hAnsiTheme="minorHAnsi"/>
          <w:sz w:val="22"/>
        </w:rPr>
      </w:pPr>
      <w:r>
        <w:rPr>
          <w:rStyle w:val="bold"/>
          <w:rFonts w:asciiTheme="minorHAnsi" w:hAnsiTheme="minorHAnsi"/>
          <w:sz w:val="22"/>
        </w:rPr>
        <w:t>January 2020</w:t>
      </w:r>
    </w:p>
    <w:p w:rsidR="00983A48" w:rsidRPr="000D46C8" w:rsidRDefault="00983A48" w:rsidP="00983A48">
      <w:pPr>
        <w:tabs>
          <w:tab w:val="left" w:pos="-720"/>
        </w:tabs>
        <w:jc w:val="center"/>
      </w:pPr>
    </w:p>
    <w:p w:rsidR="005431DF" w:rsidRPr="000D46C8" w:rsidRDefault="00B42666" w:rsidP="00EC4A45">
      <w:pPr>
        <w:pStyle w:val="Heading2"/>
        <w:rPr>
          <w:rStyle w:val="bold"/>
          <w:rFonts w:asciiTheme="minorHAnsi" w:hAnsiTheme="minorHAnsi"/>
          <w:sz w:val="22"/>
          <w:szCs w:val="22"/>
        </w:rPr>
      </w:pPr>
      <w:r w:rsidRPr="000D46C8">
        <w:rPr>
          <w:rStyle w:val="bold"/>
          <w:rFonts w:asciiTheme="minorHAnsi" w:hAnsiTheme="minorHAnsi"/>
          <w:sz w:val="22"/>
          <w:szCs w:val="22"/>
        </w:rPr>
        <w:t>I.</w:t>
      </w:r>
      <w:r w:rsidR="005431DF" w:rsidRPr="000D46C8">
        <w:rPr>
          <w:rStyle w:val="bold"/>
          <w:rFonts w:asciiTheme="minorHAnsi" w:hAnsiTheme="minorHAnsi"/>
          <w:sz w:val="22"/>
          <w:szCs w:val="22"/>
        </w:rPr>
        <w:tab/>
      </w:r>
      <w:r w:rsidR="002B12F3" w:rsidRPr="000D46C8">
        <w:rPr>
          <w:rStyle w:val="bold"/>
          <w:rFonts w:asciiTheme="minorHAnsi" w:hAnsiTheme="minorHAnsi"/>
          <w:sz w:val="22"/>
          <w:szCs w:val="22"/>
        </w:rPr>
        <w:t>Definition</w:t>
      </w:r>
      <w:r w:rsidR="005431DF" w:rsidRPr="000D46C8">
        <w:rPr>
          <w:rStyle w:val="bold"/>
          <w:rFonts w:asciiTheme="minorHAnsi" w:hAnsiTheme="minorHAnsi"/>
          <w:sz w:val="22"/>
          <w:szCs w:val="22"/>
        </w:rPr>
        <w:t xml:space="preserve">:  </w:t>
      </w:r>
      <w:r w:rsidR="002B12F3" w:rsidRPr="000D46C8">
        <w:rPr>
          <w:rStyle w:val="bold"/>
          <w:rFonts w:asciiTheme="minorHAnsi" w:hAnsiTheme="minorHAnsi"/>
          <w:b w:val="0"/>
          <w:sz w:val="22"/>
          <w:szCs w:val="22"/>
        </w:rPr>
        <w:t>Use</w:t>
      </w:r>
      <w:r w:rsidR="002B12F3" w:rsidRPr="000D46C8">
        <w:rPr>
          <w:rStyle w:val="bold"/>
          <w:rFonts w:asciiTheme="minorHAnsi" w:hAnsiTheme="minorHAnsi"/>
          <w:sz w:val="22"/>
          <w:szCs w:val="22"/>
        </w:rPr>
        <w:t xml:space="preserve"> </w:t>
      </w:r>
      <w:r w:rsidR="002B12F3" w:rsidRPr="000D46C8">
        <w:rPr>
          <w:rStyle w:val="bold"/>
          <w:rFonts w:asciiTheme="minorHAnsi" w:hAnsiTheme="minorHAnsi"/>
          <w:b w:val="0"/>
          <w:sz w:val="22"/>
          <w:szCs w:val="22"/>
        </w:rPr>
        <w:t>of</w:t>
      </w:r>
      <w:r w:rsidR="002B12F3" w:rsidRPr="000D46C8">
        <w:rPr>
          <w:rStyle w:val="bold"/>
          <w:rFonts w:asciiTheme="minorHAnsi" w:hAnsiTheme="minorHAnsi"/>
          <w:sz w:val="22"/>
          <w:szCs w:val="22"/>
        </w:rPr>
        <w:t xml:space="preserve"> </w:t>
      </w:r>
      <w:r w:rsidR="002B12F3" w:rsidRPr="000D46C8">
        <w:rPr>
          <w:rStyle w:val="bold"/>
          <w:rFonts w:asciiTheme="minorHAnsi" w:hAnsiTheme="minorHAnsi"/>
          <w:b w:val="0"/>
          <w:sz w:val="22"/>
          <w:szCs w:val="22"/>
        </w:rPr>
        <w:t xml:space="preserve">antiretrovirals to prevent HIV infection after sexual, injection-drug use, or other nonoccupational exposure to HIV is referred to as </w:t>
      </w:r>
      <w:r w:rsidR="002B12F3" w:rsidRPr="000D46C8">
        <w:t>nonoccupational post-exposure prophylaxis (</w:t>
      </w:r>
      <w:proofErr w:type="spellStart"/>
      <w:r w:rsidR="002B12F3" w:rsidRPr="000D46C8">
        <w:t>nPEP</w:t>
      </w:r>
      <w:proofErr w:type="spellEnd"/>
      <w:r w:rsidR="002B12F3" w:rsidRPr="000D46C8">
        <w:t>)</w:t>
      </w:r>
    </w:p>
    <w:p w:rsidR="002B12F3" w:rsidRPr="000D46C8" w:rsidRDefault="002B12F3" w:rsidP="005431DF">
      <w:pPr>
        <w:pStyle w:val="Heading2"/>
        <w:rPr>
          <w:rStyle w:val="bold"/>
          <w:rFonts w:asciiTheme="minorHAnsi" w:hAnsiTheme="minorHAnsi"/>
          <w:sz w:val="22"/>
          <w:szCs w:val="22"/>
        </w:rPr>
      </w:pPr>
    </w:p>
    <w:p w:rsidR="002B12F3" w:rsidRPr="000D46C8" w:rsidRDefault="002B12F3" w:rsidP="00EF3C7F">
      <w:pPr>
        <w:pStyle w:val="Heading2"/>
        <w:rPr>
          <w:rFonts w:cs="AGaramond-Regular"/>
          <w:color w:val="000000"/>
          <w:szCs w:val="22"/>
        </w:rPr>
      </w:pPr>
      <w:r w:rsidRPr="000D46C8">
        <w:rPr>
          <w:rStyle w:val="bold"/>
          <w:rFonts w:asciiTheme="minorHAnsi" w:hAnsiTheme="minorHAnsi"/>
          <w:sz w:val="22"/>
          <w:szCs w:val="22"/>
        </w:rPr>
        <w:t>II.</w:t>
      </w:r>
      <w:r w:rsidRPr="000D46C8">
        <w:rPr>
          <w:rStyle w:val="bold"/>
          <w:rFonts w:asciiTheme="minorHAnsi" w:hAnsiTheme="minorHAnsi"/>
          <w:sz w:val="22"/>
          <w:szCs w:val="22"/>
        </w:rPr>
        <w:tab/>
        <w:t>Rationale:</w:t>
      </w:r>
      <w:r w:rsidRPr="000D46C8">
        <w:rPr>
          <w:szCs w:val="22"/>
        </w:rPr>
        <w:t xml:space="preserve">  data from animal transmission</w:t>
      </w:r>
      <w:r w:rsidR="00A8396B" w:rsidRPr="000D46C8">
        <w:rPr>
          <w:szCs w:val="22"/>
        </w:rPr>
        <w:t xml:space="preserve"> </w:t>
      </w:r>
      <w:r w:rsidRPr="000D46C8">
        <w:rPr>
          <w:szCs w:val="22"/>
        </w:rPr>
        <w:t>models, perinatal clinical trials, studies of health-care workers</w:t>
      </w:r>
      <w:r w:rsidR="00A8396B" w:rsidRPr="000D46C8">
        <w:rPr>
          <w:szCs w:val="22"/>
        </w:rPr>
        <w:t xml:space="preserve"> </w:t>
      </w:r>
      <w:r w:rsidRPr="000D46C8">
        <w:rPr>
          <w:szCs w:val="22"/>
        </w:rPr>
        <w:t>receiving prophylaxis after occupational exposures, and observational studies</w:t>
      </w:r>
      <w:r w:rsidR="00A8396B" w:rsidRPr="000D46C8">
        <w:rPr>
          <w:szCs w:val="22"/>
        </w:rPr>
        <w:t xml:space="preserve"> </w:t>
      </w:r>
      <w:r w:rsidRPr="000D46C8">
        <w:rPr>
          <w:szCs w:val="22"/>
        </w:rPr>
        <w:t xml:space="preserve">indicate that </w:t>
      </w:r>
      <w:proofErr w:type="spellStart"/>
      <w:r w:rsidRPr="000D46C8">
        <w:rPr>
          <w:szCs w:val="22"/>
        </w:rPr>
        <w:t>nPEP</w:t>
      </w:r>
      <w:proofErr w:type="spellEnd"/>
      <w:r w:rsidRPr="000D46C8">
        <w:rPr>
          <w:szCs w:val="22"/>
        </w:rPr>
        <w:t xml:space="preserve"> </w:t>
      </w:r>
      <w:r w:rsidR="00E356A9">
        <w:rPr>
          <w:szCs w:val="22"/>
        </w:rPr>
        <w:t>can</w:t>
      </w:r>
      <w:r w:rsidRPr="000D46C8">
        <w:rPr>
          <w:szCs w:val="22"/>
        </w:rPr>
        <w:t xml:space="preserve"> reduce the risk for HIV infection after nonoccupational</w:t>
      </w:r>
      <w:r w:rsidR="00A8396B" w:rsidRPr="000D46C8">
        <w:rPr>
          <w:szCs w:val="22"/>
        </w:rPr>
        <w:t xml:space="preserve"> </w:t>
      </w:r>
      <w:r w:rsidRPr="000D46C8">
        <w:rPr>
          <w:szCs w:val="22"/>
        </w:rPr>
        <w:t>exposure</w:t>
      </w:r>
      <w:r w:rsidRPr="000D46C8">
        <w:rPr>
          <w:rFonts w:cs="AGaramond-Regular"/>
          <w:color w:val="231F20"/>
          <w:szCs w:val="22"/>
        </w:rPr>
        <w:t>s.</w:t>
      </w:r>
    </w:p>
    <w:p w:rsidR="002B12F3" w:rsidRPr="000D46C8" w:rsidRDefault="002B12F3" w:rsidP="005431DF">
      <w:pPr>
        <w:pStyle w:val="Heading2"/>
        <w:rPr>
          <w:szCs w:val="22"/>
        </w:rPr>
      </w:pPr>
    </w:p>
    <w:p w:rsidR="00A8396B" w:rsidRPr="000D46C8" w:rsidRDefault="00A8396B" w:rsidP="005431DF">
      <w:pPr>
        <w:pStyle w:val="Heading2"/>
        <w:rPr>
          <w:szCs w:val="22"/>
        </w:rPr>
      </w:pPr>
      <w:r w:rsidRPr="000D46C8">
        <w:rPr>
          <w:b/>
          <w:szCs w:val="22"/>
        </w:rPr>
        <w:t>III.</w:t>
      </w:r>
      <w:r w:rsidRPr="000D46C8">
        <w:rPr>
          <w:b/>
          <w:szCs w:val="22"/>
        </w:rPr>
        <w:tab/>
        <w:t>VA policy</w:t>
      </w:r>
      <w:r w:rsidRPr="000D46C8">
        <w:rPr>
          <w:szCs w:val="22"/>
        </w:rPr>
        <w:t xml:space="preserve">:  </w:t>
      </w:r>
    </w:p>
    <w:p w:rsidR="000E396E" w:rsidRPr="000D46C8" w:rsidRDefault="000E396E" w:rsidP="00F837BB">
      <w:pPr>
        <w:pStyle w:val="ListBullet20"/>
      </w:pPr>
      <w:r w:rsidRPr="000D46C8">
        <w:t xml:space="preserve">VA providers may prescribe </w:t>
      </w:r>
      <w:proofErr w:type="spellStart"/>
      <w:r w:rsidRPr="000D46C8">
        <w:t>nPEP</w:t>
      </w:r>
      <w:proofErr w:type="spellEnd"/>
      <w:r w:rsidR="00F837BB">
        <w:t xml:space="preserve">, i.e., a </w:t>
      </w:r>
      <w:proofErr w:type="gramStart"/>
      <w:r w:rsidR="00702ECE">
        <w:t>30</w:t>
      </w:r>
      <w:r w:rsidR="00F837BB">
        <w:t xml:space="preserve"> day</w:t>
      </w:r>
      <w:proofErr w:type="gramEnd"/>
      <w:r w:rsidR="00F837BB">
        <w:t xml:space="preserve"> supply of triple-drug antiretroviral therapy, to prevent HIV infection in exposed Veteran patients. </w:t>
      </w:r>
      <w:r w:rsidRPr="000D46C8">
        <w:t xml:space="preserve"> </w:t>
      </w:r>
    </w:p>
    <w:p w:rsidR="00F837BB" w:rsidRPr="000D46C8" w:rsidRDefault="00F837BB" w:rsidP="00F837BB">
      <w:pPr>
        <w:pStyle w:val="ListBullet20"/>
      </w:pPr>
      <w:r>
        <w:t xml:space="preserve">In addition, to </w:t>
      </w:r>
      <w:proofErr w:type="spellStart"/>
      <w:r>
        <w:t>nPEP</w:t>
      </w:r>
      <w:proofErr w:type="spellEnd"/>
      <w:r>
        <w:t xml:space="preserve">, the VA provides continuous dual-drug </w:t>
      </w:r>
      <w:proofErr w:type="gramStart"/>
      <w:r>
        <w:t>antiretroviral  therapy</w:t>
      </w:r>
      <w:proofErr w:type="gramEnd"/>
      <w:r>
        <w:t xml:space="preserve"> as Pre-Exposure Prophylaxis (PrEP) to prevent HIV infection in high-risk persons</w:t>
      </w:r>
    </w:p>
    <w:p w:rsidR="00A8396B" w:rsidRDefault="00A8396B" w:rsidP="00F837BB">
      <w:pPr>
        <w:pStyle w:val="ListBullet20"/>
      </w:pPr>
      <w:r w:rsidRPr="000D46C8">
        <w:t xml:space="preserve">Treatment and testing of source individuals </w:t>
      </w:r>
      <w:proofErr w:type="gramStart"/>
      <w:r w:rsidRPr="000D46C8">
        <w:t>is</w:t>
      </w:r>
      <w:proofErr w:type="gramEnd"/>
      <w:r w:rsidRPr="000D46C8">
        <w:t xml:space="preserve"> not permitted unless that individual is also a veter</w:t>
      </w:r>
      <w:r w:rsidR="00F837BB">
        <w:t>an eligible for VA medical care</w:t>
      </w:r>
    </w:p>
    <w:p w:rsidR="00A8396B" w:rsidRPr="000D46C8" w:rsidRDefault="00A8396B" w:rsidP="00F837BB"/>
    <w:p w:rsidR="007B36F4" w:rsidRPr="000D46C8" w:rsidRDefault="00F837BB" w:rsidP="00EC4A45">
      <w:pPr>
        <w:pStyle w:val="Heading2"/>
        <w:rPr>
          <w:rStyle w:val="bold"/>
          <w:rFonts w:asciiTheme="minorHAnsi" w:hAnsiTheme="minorHAnsi"/>
          <w:sz w:val="22"/>
          <w:szCs w:val="22"/>
        </w:rPr>
      </w:pPr>
      <w:r>
        <w:rPr>
          <w:rStyle w:val="bold"/>
          <w:rFonts w:asciiTheme="minorHAnsi" w:hAnsiTheme="minorHAnsi"/>
          <w:sz w:val="22"/>
          <w:szCs w:val="22"/>
        </w:rPr>
        <w:t>IV</w:t>
      </w:r>
      <w:r w:rsidR="007B36F4" w:rsidRPr="000D46C8">
        <w:rPr>
          <w:rStyle w:val="bold"/>
          <w:rFonts w:asciiTheme="minorHAnsi" w:hAnsiTheme="minorHAnsi"/>
          <w:sz w:val="22"/>
          <w:szCs w:val="22"/>
        </w:rPr>
        <w:t>.</w:t>
      </w:r>
      <w:r w:rsidR="007B36F4" w:rsidRPr="000D46C8">
        <w:rPr>
          <w:rStyle w:val="bold"/>
          <w:rFonts w:asciiTheme="minorHAnsi" w:hAnsiTheme="minorHAnsi"/>
          <w:sz w:val="22"/>
          <w:szCs w:val="22"/>
        </w:rPr>
        <w:tab/>
      </w:r>
      <w:r>
        <w:rPr>
          <w:rStyle w:val="bold"/>
          <w:rFonts w:asciiTheme="minorHAnsi" w:hAnsiTheme="minorHAnsi"/>
          <w:sz w:val="22"/>
          <w:szCs w:val="22"/>
        </w:rPr>
        <w:t>P</w:t>
      </w:r>
      <w:r w:rsidR="007B36F4" w:rsidRPr="000D46C8">
        <w:rPr>
          <w:rStyle w:val="bold"/>
          <w:rFonts w:asciiTheme="minorHAnsi" w:hAnsiTheme="minorHAnsi"/>
          <w:sz w:val="22"/>
          <w:szCs w:val="22"/>
        </w:rPr>
        <w:t>rocedures</w:t>
      </w:r>
    </w:p>
    <w:p w:rsidR="005643E5" w:rsidRPr="000D46C8" w:rsidRDefault="005643E5" w:rsidP="005643E5">
      <w:pPr>
        <w:pStyle w:val="ListBullet20"/>
      </w:pPr>
      <w:r w:rsidRPr="000D46C8">
        <w:rPr>
          <w:b/>
        </w:rPr>
        <w:t xml:space="preserve">For questions regarding </w:t>
      </w:r>
      <w:proofErr w:type="spellStart"/>
      <w:r w:rsidRPr="000D46C8">
        <w:rPr>
          <w:b/>
        </w:rPr>
        <w:t>nPEP</w:t>
      </w:r>
      <w:proofErr w:type="spellEnd"/>
      <w:r w:rsidRPr="000D46C8">
        <w:rPr>
          <w:b/>
        </w:rPr>
        <w:t>, page the Infectious Diseases Fellow on-call</w:t>
      </w:r>
      <w:r w:rsidRPr="000D46C8">
        <w:t xml:space="preserve"> (</w:t>
      </w:r>
      <w:r>
        <w:t>UCLA pager 310-206-8477 x89321</w:t>
      </w:r>
      <w:r w:rsidRPr="000D46C8">
        <w:t xml:space="preserve">).     </w:t>
      </w:r>
    </w:p>
    <w:p w:rsidR="005643E5" w:rsidRPr="000D46C8" w:rsidRDefault="005643E5" w:rsidP="005643E5">
      <w:pPr>
        <w:pStyle w:val="ListBullet20"/>
      </w:pPr>
      <w:r w:rsidRPr="000D46C8">
        <w:t xml:space="preserve">CDC recommendations for </w:t>
      </w:r>
      <w:proofErr w:type="spellStart"/>
      <w:r w:rsidRPr="000D46C8">
        <w:t>nPEP</w:t>
      </w:r>
      <w:proofErr w:type="spellEnd"/>
      <w:r w:rsidRPr="000D46C8">
        <w:t xml:space="preserve">:  </w:t>
      </w:r>
      <w:hyperlink r:id="rId7" w:history="1">
        <w:r w:rsidRPr="000D46C8">
          <w:rPr>
            <w:rStyle w:val="Hyperlink"/>
          </w:rPr>
          <w:t>http://www.cdc.gov/mmwr/preview/mmwrhtml/00054952.htm</w:t>
        </w:r>
      </w:hyperlink>
      <w:r w:rsidRPr="000D46C8">
        <w:t xml:space="preserve"> </w:t>
      </w:r>
    </w:p>
    <w:p w:rsidR="007B36F4" w:rsidRPr="000D46C8" w:rsidRDefault="007B36F4" w:rsidP="008E361B">
      <w:pPr>
        <w:pStyle w:val="Heading3"/>
        <w:rPr>
          <w:rStyle w:val="bold"/>
          <w:rFonts w:asciiTheme="minorHAnsi" w:hAnsiTheme="minorHAnsi"/>
          <w:sz w:val="22"/>
        </w:rPr>
      </w:pPr>
    </w:p>
    <w:p w:rsidR="00F837BB" w:rsidRPr="000D46C8" w:rsidRDefault="00E356A9" w:rsidP="001E1FEB">
      <w:pPr>
        <w:pStyle w:val="Heading3"/>
        <w:rPr>
          <w:rStyle w:val="bold"/>
          <w:rFonts w:asciiTheme="minorHAnsi" w:hAnsiTheme="minorHAnsi"/>
          <w:sz w:val="22"/>
        </w:rPr>
      </w:pPr>
      <w:r>
        <w:rPr>
          <w:rStyle w:val="bold"/>
          <w:rFonts w:asciiTheme="minorHAnsi" w:hAnsiTheme="minorHAnsi"/>
          <w:sz w:val="22"/>
        </w:rPr>
        <w:t>Evaluation</w:t>
      </w:r>
      <w:r w:rsidR="00F837BB" w:rsidRPr="000D46C8">
        <w:rPr>
          <w:rStyle w:val="bold"/>
          <w:rFonts w:asciiTheme="minorHAnsi" w:hAnsiTheme="minorHAnsi"/>
          <w:sz w:val="22"/>
        </w:rPr>
        <w:t xml:space="preserve"> for </w:t>
      </w:r>
      <w:proofErr w:type="spellStart"/>
      <w:r w:rsidR="00F837BB" w:rsidRPr="000D46C8">
        <w:rPr>
          <w:rStyle w:val="bold"/>
          <w:rFonts w:asciiTheme="minorHAnsi" w:hAnsiTheme="minorHAnsi"/>
          <w:sz w:val="22"/>
        </w:rPr>
        <w:t>nPEP</w:t>
      </w:r>
      <w:proofErr w:type="spellEnd"/>
    </w:p>
    <w:p w:rsidR="00D42399" w:rsidRDefault="00F837BB" w:rsidP="00D42399">
      <w:pPr>
        <w:pStyle w:val="Heading4"/>
        <w:rPr>
          <w:u w:val="single"/>
        </w:rPr>
      </w:pPr>
      <w:proofErr w:type="spellStart"/>
      <w:r w:rsidRPr="00D42399">
        <w:rPr>
          <w:u w:val="single"/>
        </w:rPr>
        <w:t>nPEP</w:t>
      </w:r>
      <w:proofErr w:type="spellEnd"/>
      <w:r w:rsidRPr="00D42399">
        <w:rPr>
          <w:u w:val="single"/>
        </w:rPr>
        <w:t xml:space="preserve"> is recommended if</w:t>
      </w:r>
    </w:p>
    <w:p w:rsidR="00D42399" w:rsidRDefault="00D42399" w:rsidP="00FA1BB2">
      <w:pPr>
        <w:pStyle w:val="ListBullet4"/>
      </w:pPr>
      <w:r w:rsidRPr="00D42399">
        <w:t xml:space="preserve">The </w:t>
      </w:r>
      <w:r w:rsidR="00F837BB" w:rsidRPr="00D42399">
        <w:t>source is known to be HIV-infected.</w:t>
      </w:r>
      <w:r w:rsidR="001E1FEB" w:rsidRPr="00D42399">
        <w:t xml:space="preserve">  </w:t>
      </w:r>
    </w:p>
    <w:p w:rsidR="00D42399" w:rsidRPr="000D46C8" w:rsidRDefault="00D42399" w:rsidP="00702ECE">
      <w:pPr>
        <w:pStyle w:val="ListBullet5"/>
        <w:rPr>
          <w:b/>
        </w:rPr>
      </w:pPr>
      <w:r w:rsidRPr="000D46C8">
        <w:t>Case-</w:t>
      </w:r>
      <w:r w:rsidRPr="00D42399">
        <w:t>by</w:t>
      </w:r>
      <w:r w:rsidRPr="000D46C8">
        <w:t>-case decisions should be made for nonoccupational post-exposure prophylaxis (</w:t>
      </w:r>
      <w:proofErr w:type="spellStart"/>
      <w:r w:rsidRPr="000D46C8">
        <w:t>nPEP</w:t>
      </w:r>
      <w:proofErr w:type="spellEnd"/>
      <w:r w:rsidRPr="000D46C8">
        <w:t>) made if the HIV status of the source is unknown.</w:t>
      </w:r>
    </w:p>
    <w:p w:rsidR="00D42399" w:rsidRPr="001E1FEB" w:rsidRDefault="00D42399" w:rsidP="00702ECE">
      <w:pPr>
        <w:pStyle w:val="ListBullet5"/>
      </w:pPr>
      <w:r w:rsidRPr="001E1FEB">
        <w:t xml:space="preserve">Testing of source individuals is not permitted at </w:t>
      </w:r>
      <w:r>
        <w:t>the VA</w:t>
      </w:r>
      <w:r w:rsidRPr="001E1FEB">
        <w:t xml:space="preserve"> unless that individual is also a veteran eligible for VA medical care.</w:t>
      </w:r>
    </w:p>
    <w:p w:rsidR="00D42399" w:rsidRDefault="00D42399" w:rsidP="00FA1BB2">
      <w:pPr>
        <w:pStyle w:val="ListBullet4"/>
      </w:pPr>
      <w:r>
        <w:t>The exposure occurred within the prior 72 hours</w:t>
      </w:r>
    </w:p>
    <w:p w:rsidR="00D42399" w:rsidRDefault="00D42399" w:rsidP="00FA1BB2">
      <w:pPr>
        <w:pStyle w:val="ListBullet4"/>
      </w:pPr>
      <w:proofErr w:type="gramStart"/>
      <w:r>
        <w:t>The  exposure</w:t>
      </w:r>
      <w:proofErr w:type="gramEnd"/>
      <w:r>
        <w:t xml:space="preserve"> carries a </w:t>
      </w:r>
      <w:r w:rsidRPr="00D42399">
        <w:rPr>
          <w:i/>
        </w:rPr>
        <w:t xml:space="preserve">substantial </w:t>
      </w:r>
      <w:r>
        <w:t>risk HIV infection</w:t>
      </w:r>
    </w:p>
    <w:p w:rsidR="00F837BB" w:rsidRPr="000D46C8" w:rsidRDefault="00F837BB" w:rsidP="00FA1BB2">
      <w:pPr>
        <w:pStyle w:val="ListBullet5"/>
      </w:pPr>
      <w:r w:rsidRPr="000D46C8">
        <w:rPr>
          <w:u w:val="single"/>
        </w:rPr>
        <w:t>Exposure of</w:t>
      </w:r>
      <w:r w:rsidRPr="000D46C8">
        <w:t xml:space="preserve"> vagina, rectum, eye, mouth, or other mucous membrane, nonintact skin, or percutaneous contact</w:t>
      </w:r>
    </w:p>
    <w:p w:rsidR="00F837BB" w:rsidRPr="000D46C8" w:rsidRDefault="00F837BB" w:rsidP="00FA1BB2">
      <w:pPr>
        <w:pStyle w:val="ListBullet5"/>
      </w:pPr>
      <w:r w:rsidRPr="000D46C8">
        <w:rPr>
          <w:u w:val="single"/>
        </w:rPr>
        <w:t>With</w:t>
      </w:r>
      <w:r w:rsidRPr="000D46C8">
        <w:t xml:space="preserve"> blood, semen, vaginal secretions, rectal secretions, breast milk, or any body fluid that is visibly contaminated with blood</w:t>
      </w:r>
    </w:p>
    <w:p w:rsidR="00F837BB" w:rsidRPr="000D46C8" w:rsidRDefault="00F837BB" w:rsidP="00FA1BB2">
      <w:pPr>
        <w:pStyle w:val="ListBullet5"/>
      </w:pPr>
      <w:r w:rsidRPr="000D46C8">
        <w:rPr>
          <w:u w:val="single"/>
        </w:rPr>
        <w:t>When</w:t>
      </w:r>
      <w:r w:rsidRPr="000D46C8">
        <w:t xml:space="preserve"> the source is known to be HIV-infected</w:t>
      </w:r>
    </w:p>
    <w:p w:rsidR="0090121D" w:rsidRDefault="0090121D" w:rsidP="00FA1BB2">
      <w:pPr>
        <w:pStyle w:val="Heading4"/>
        <w:tabs>
          <w:tab w:val="center" w:pos="7650"/>
        </w:tabs>
        <w:ind w:hanging="36"/>
        <w:rPr>
          <w:b/>
          <w:u w:val="single"/>
        </w:rPr>
      </w:pPr>
    </w:p>
    <w:p w:rsidR="00F837BB" w:rsidRPr="00FA1BB2" w:rsidRDefault="0090121D" w:rsidP="00FA1BB2">
      <w:pPr>
        <w:pStyle w:val="Heading4"/>
        <w:tabs>
          <w:tab w:val="center" w:pos="7650"/>
        </w:tabs>
        <w:ind w:hanging="36"/>
        <w:rPr>
          <w:rFonts w:cs="Helvetica"/>
          <w:b/>
          <w:u w:val="single"/>
        </w:rPr>
      </w:pPr>
      <w:r>
        <w:rPr>
          <w:b/>
          <w:u w:val="single"/>
        </w:rPr>
        <w:t xml:space="preserve">Type of </w:t>
      </w:r>
      <w:r w:rsidR="00F837BB" w:rsidRPr="00FA1BB2">
        <w:rPr>
          <w:b/>
          <w:u w:val="single"/>
        </w:rPr>
        <w:t>Exposure</w:t>
      </w:r>
      <w:r w:rsidR="00F837BB" w:rsidRPr="00FA1BB2">
        <w:rPr>
          <w:b/>
          <w:u w:val="single"/>
        </w:rPr>
        <w:tab/>
      </w:r>
      <w:r w:rsidR="00FA1BB2" w:rsidRPr="00FA1BB2">
        <w:rPr>
          <w:b/>
          <w:u w:val="single"/>
        </w:rPr>
        <w:t>Estimated risk per 10,000 exposures to infected source</w:t>
      </w:r>
      <w:r w:rsidR="001E1FEB" w:rsidRPr="00FA1BB2">
        <w:rPr>
          <w:b/>
          <w:u w:val="single"/>
        </w:rPr>
        <w:t>*</w:t>
      </w:r>
    </w:p>
    <w:p w:rsidR="00F837BB" w:rsidRPr="000D46C8" w:rsidRDefault="00F837BB" w:rsidP="001E1FEB">
      <w:pPr>
        <w:pStyle w:val="Heading4"/>
        <w:tabs>
          <w:tab w:val="decimal" w:pos="7290"/>
          <w:tab w:val="decimal" w:pos="8100"/>
        </w:tabs>
        <w:ind w:firstLine="414"/>
      </w:pPr>
      <w:r w:rsidRPr="000D46C8">
        <w:t xml:space="preserve">Blood transfusion </w:t>
      </w:r>
      <w:r w:rsidRPr="000D46C8">
        <w:tab/>
        <w:t>9,000</w:t>
      </w:r>
      <w:r w:rsidR="001E1FEB">
        <w:tab/>
        <w:t>90%</w:t>
      </w:r>
    </w:p>
    <w:p w:rsidR="00F837BB" w:rsidRPr="000D46C8" w:rsidRDefault="00F837BB" w:rsidP="001E1FEB">
      <w:pPr>
        <w:pStyle w:val="Heading4"/>
        <w:tabs>
          <w:tab w:val="decimal" w:pos="7290"/>
          <w:tab w:val="decimal" w:pos="8100"/>
        </w:tabs>
        <w:ind w:firstLine="414"/>
      </w:pPr>
      <w:r w:rsidRPr="000D46C8">
        <w:t xml:space="preserve">Needle-sharing injection-drug use </w:t>
      </w:r>
      <w:r w:rsidRPr="000D46C8">
        <w:tab/>
        <w:t>67</w:t>
      </w:r>
      <w:r w:rsidR="001E1FEB">
        <w:tab/>
        <w:t>0.67%</w:t>
      </w:r>
    </w:p>
    <w:p w:rsidR="00F837BB" w:rsidRPr="000D46C8" w:rsidRDefault="00F837BB" w:rsidP="001E1FEB">
      <w:pPr>
        <w:pStyle w:val="Heading4"/>
        <w:tabs>
          <w:tab w:val="decimal" w:pos="7290"/>
          <w:tab w:val="decimal" w:pos="8100"/>
        </w:tabs>
        <w:ind w:firstLine="414"/>
      </w:pPr>
      <w:r w:rsidRPr="000D46C8">
        <w:t xml:space="preserve">Receptive anal intercourse </w:t>
      </w:r>
      <w:r w:rsidRPr="000D46C8">
        <w:tab/>
        <w:t>50</w:t>
      </w:r>
      <w:r w:rsidR="001E1FEB">
        <w:tab/>
        <w:t>0.50%</w:t>
      </w:r>
    </w:p>
    <w:p w:rsidR="00F837BB" w:rsidRPr="000D46C8" w:rsidRDefault="00F837BB" w:rsidP="001E1FEB">
      <w:pPr>
        <w:pStyle w:val="Heading4"/>
        <w:tabs>
          <w:tab w:val="decimal" w:pos="7290"/>
          <w:tab w:val="decimal" w:pos="8100"/>
        </w:tabs>
        <w:ind w:firstLine="414"/>
      </w:pPr>
      <w:r w:rsidRPr="000D46C8">
        <w:t xml:space="preserve">Percutaneous needle </w:t>
      </w:r>
      <w:proofErr w:type="gramStart"/>
      <w:r w:rsidRPr="000D46C8">
        <w:t>stick</w:t>
      </w:r>
      <w:proofErr w:type="gramEnd"/>
      <w:r w:rsidRPr="000D46C8">
        <w:tab/>
        <w:t>30</w:t>
      </w:r>
      <w:r w:rsidR="001E1FEB">
        <w:tab/>
        <w:t>0.30%</w:t>
      </w:r>
    </w:p>
    <w:p w:rsidR="00F837BB" w:rsidRPr="000D46C8" w:rsidRDefault="00F837BB" w:rsidP="001E1FEB">
      <w:pPr>
        <w:pStyle w:val="Heading4"/>
        <w:tabs>
          <w:tab w:val="decimal" w:pos="7290"/>
          <w:tab w:val="decimal" w:pos="8100"/>
        </w:tabs>
        <w:ind w:firstLine="414"/>
      </w:pPr>
      <w:r w:rsidRPr="000D46C8">
        <w:t xml:space="preserve">Receptive penile-vaginal intercourse </w:t>
      </w:r>
      <w:r w:rsidRPr="000D46C8">
        <w:tab/>
        <w:t>10</w:t>
      </w:r>
      <w:r w:rsidR="001E1FEB">
        <w:tab/>
        <w:t>0.10%</w:t>
      </w:r>
    </w:p>
    <w:p w:rsidR="00F837BB" w:rsidRPr="000D46C8" w:rsidRDefault="00F837BB" w:rsidP="001E1FEB">
      <w:pPr>
        <w:pStyle w:val="Heading4"/>
        <w:tabs>
          <w:tab w:val="decimal" w:pos="7290"/>
          <w:tab w:val="decimal" w:pos="8100"/>
        </w:tabs>
        <w:ind w:firstLine="414"/>
      </w:pPr>
      <w:r w:rsidRPr="000D46C8">
        <w:t xml:space="preserve">Insertive anal intercourse </w:t>
      </w:r>
      <w:r w:rsidRPr="000D46C8">
        <w:tab/>
        <w:t>6.5</w:t>
      </w:r>
      <w:r w:rsidR="001E1FEB">
        <w:tab/>
        <w:t>0.065%</w:t>
      </w:r>
    </w:p>
    <w:p w:rsidR="00F837BB" w:rsidRPr="000D46C8" w:rsidRDefault="00F837BB" w:rsidP="001E1FEB">
      <w:pPr>
        <w:pStyle w:val="Heading4"/>
        <w:tabs>
          <w:tab w:val="decimal" w:pos="7290"/>
          <w:tab w:val="decimal" w:pos="8100"/>
        </w:tabs>
        <w:ind w:firstLine="414"/>
      </w:pPr>
      <w:r w:rsidRPr="000D46C8">
        <w:t xml:space="preserve">Insertive penile-vaginal intercourse </w:t>
      </w:r>
      <w:r w:rsidRPr="000D46C8">
        <w:tab/>
        <w:t>5</w:t>
      </w:r>
      <w:r w:rsidR="001E1FEB">
        <w:tab/>
        <w:t>0.050%</w:t>
      </w:r>
    </w:p>
    <w:p w:rsidR="00F837BB" w:rsidRPr="000D46C8" w:rsidRDefault="00F837BB" w:rsidP="001E1FEB">
      <w:pPr>
        <w:pStyle w:val="Heading4"/>
        <w:tabs>
          <w:tab w:val="decimal" w:pos="7290"/>
          <w:tab w:val="decimal" w:pos="8100"/>
        </w:tabs>
        <w:ind w:firstLine="414"/>
      </w:pPr>
      <w:r w:rsidRPr="000D46C8">
        <w:t xml:space="preserve">Receptive oral intercourse </w:t>
      </w:r>
      <w:r w:rsidRPr="000D46C8">
        <w:tab/>
        <w:t>1</w:t>
      </w:r>
      <w:r w:rsidR="001E1FEB">
        <w:tab/>
        <w:t>0.010%</w:t>
      </w:r>
    </w:p>
    <w:p w:rsidR="00F837BB" w:rsidRDefault="00F837BB" w:rsidP="001E1FEB">
      <w:pPr>
        <w:pStyle w:val="Heading4"/>
        <w:tabs>
          <w:tab w:val="decimal" w:pos="7290"/>
          <w:tab w:val="decimal" w:pos="8100"/>
        </w:tabs>
        <w:ind w:firstLine="414"/>
      </w:pPr>
      <w:r w:rsidRPr="000D46C8">
        <w:t>Insertive oral intercourse</w:t>
      </w:r>
      <w:r w:rsidRPr="000D46C8">
        <w:tab/>
        <w:t xml:space="preserve"> 0.5</w:t>
      </w:r>
      <w:r w:rsidR="001E1FEB">
        <w:tab/>
        <w:t>0.005%</w:t>
      </w:r>
    </w:p>
    <w:p w:rsidR="001E1FEB" w:rsidRPr="001E1FEB" w:rsidRDefault="001E1FEB" w:rsidP="001E1FEB">
      <w:pPr>
        <w:pStyle w:val="Heading5"/>
      </w:pPr>
      <w:r>
        <w:t xml:space="preserve">*  </w:t>
      </w:r>
      <w:r>
        <w:tab/>
        <w:t>Risks are modified by the height of the viral load in the source patient, the presence of sexually transmitted disease, local inflammation or bleeding, and trauma</w:t>
      </w:r>
    </w:p>
    <w:p w:rsidR="00FA1BB2" w:rsidRDefault="00FA1BB2" w:rsidP="00FA1BB2">
      <w:pPr>
        <w:pStyle w:val="Heading4"/>
        <w:rPr>
          <w:u w:val="single"/>
        </w:rPr>
      </w:pPr>
    </w:p>
    <w:p w:rsidR="00FA1BB2" w:rsidRDefault="00FA1BB2" w:rsidP="00FA1BB2">
      <w:pPr>
        <w:pStyle w:val="Heading4"/>
        <w:rPr>
          <w:u w:val="single"/>
        </w:rPr>
      </w:pPr>
      <w:proofErr w:type="spellStart"/>
      <w:r>
        <w:rPr>
          <w:u w:val="single"/>
        </w:rPr>
        <w:t>nPEP</w:t>
      </w:r>
      <w:proofErr w:type="spellEnd"/>
      <w:r>
        <w:rPr>
          <w:u w:val="single"/>
        </w:rPr>
        <w:t xml:space="preserve"> is not recommended for exposures with negligible risk of HIV Infection</w:t>
      </w:r>
    </w:p>
    <w:p w:rsidR="00FA1BB2" w:rsidRPr="000D46C8" w:rsidRDefault="00FA1BB2" w:rsidP="00FA1BB2">
      <w:pPr>
        <w:pStyle w:val="ListBullet4"/>
      </w:pPr>
      <w:r w:rsidRPr="000D46C8">
        <w:rPr>
          <w:u w:val="single"/>
        </w:rPr>
        <w:t>Exposure of</w:t>
      </w:r>
      <w:r w:rsidRPr="000D46C8">
        <w:t xml:space="preserve"> vagina, rectum, eye, mouth, or other mucous membrane, intact of nonintact skin, or percutaneous contact</w:t>
      </w:r>
    </w:p>
    <w:p w:rsidR="00FA1BB2" w:rsidRPr="000D46C8" w:rsidRDefault="00FA1BB2" w:rsidP="00FA1BB2">
      <w:pPr>
        <w:pStyle w:val="ListBullet4"/>
        <w:rPr>
          <w:color w:val="000000"/>
        </w:rPr>
      </w:pPr>
      <w:r w:rsidRPr="000D46C8">
        <w:rPr>
          <w:u w:val="single"/>
        </w:rPr>
        <w:t>With</w:t>
      </w:r>
      <w:r w:rsidRPr="000D46C8">
        <w:t xml:space="preserve"> urine, nasal secretions, saliva, sweat, or tears if not visibly contaminated with blood</w:t>
      </w:r>
    </w:p>
    <w:p w:rsidR="00FA1BB2" w:rsidRPr="000D46C8" w:rsidRDefault="00FA1BB2" w:rsidP="00FA1BB2">
      <w:pPr>
        <w:pStyle w:val="ListBullet4"/>
        <w:rPr>
          <w:color w:val="000000"/>
        </w:rPr>
      </w:pPr>
      <w:r w:rsidRPr="000D46C8">
        <w:rPr>
          <w:u w:val="single"/>
        </w:rPr>
        <w:t>Regardless</w:t>
      </w:r>
      <w:r w:rsidRPr="000D46C8">
        <w:t xml:space="preserve"> of the known or suspected HIV status of the source</w:t>
      </w:r>
    </w:p>
    <w:p w:rsidR="001E1FEB" w:rsidRPr="000D46C8" w:rsidRDefault="001E1FEB" w:rsidP="00F837BB">
      <w:pPr>
        <w:pStyle w:val="Heading4"/>
        <w:tabs>
          <w:tab w:val="decimal" w:pos="7290"/>
        </w:tabs>
        <w:ind w:hanging="846"/>
      </w:pPr>
    </w:p>
    <w:p w:rsidR="001E1FEB" w:rsidRPr="001E1FEB" w:rsidRDefault="001E1FEB" w:rsidP="001E1FEB">
      <w:pPr>
        <w:pStyle w:val="Heading3"/>
        <w:rPr>
          <w:b/>
        </w:rPr>
      </w:pPr>
      <w:r w:rsidRPr="001E1FEB">
        <w:rPr>
          <w:b/>
        </w:rPr>
        <w:t xml:space="preserve">Choice of treatment for </w:t>
      </w:r>
      <w:proofErr w:type="spellStart"/>
      <w:r w:rsidRPr="001E1FEB">
        <w:rPr>
          <w:b/>
        </w:rPr>
        <w:t>nPEP</w:t>
      </w:r>
      <w:proofErr w:type="spellEnd"/>
    </w:p>
    <w:p w:rsidR="001E1FEB" w:rsidRDefault="001E1FEB" w:rsidP="00357838"/>
    <w:p w:rsidR="0080660E" w:rsidRDefault="0080660E" w:rsidP="0080660E">
      <w:pPr>
        <w:pStyle w:val="Heading4"/>
      </w:pPr>
      <w:r w:rsidRPr="006D648A">
        <w:rPr>
          <w:u w:val="single"/>
        </w:rPr>
        <w:t xml:space="preserve">Recommended regimen:  </w:t>
      </w:r>
      <w:bookmarkStart w:id="0" w:name="_Hlk31194883"/>
      <w:r w:rsidRPr="006D648A">
        <w:t xml:space="preserve">Once daily tenofovir </w:t>
      </w:r>
      <w:r w:rsidRPr="006D648A">
        <w:rPr>
          <w:highlight w:val="yellow"/>
        </w:rPr>
        <w:t>AF</w:t>
      </w:r>
      <w:r w:rsidRPr="006D648A">
        <w:t xml:space="preserve"> &amp; </w:t>
      </w:r>
      <w:r w:rsidRPr="007056ED">
        <w:t>emtricitabine</w:t>
      </w:r>
      <w:r>
        <w:t xml:space="preserve"> &amp; bictegravir </w:t>
      </w:r>
      <w:r w:rsidRPr="007056ED">
        <w:t>(</w:t>
      </w:r>
      <w:r>
        <w:t>Biktarvy</w:t>
      </w:r>
      <w:r w:rsidRPr="007056ED">
        <w:t xml:space="preserve">™); </w:t>
      </w:r>
      <w:bookmarkEnd w:id="0"/>
      <w:r w:rsidRPr="007056ED">
        <w:t xml:space="preserve">do not use </w:t>
      </w:r>
      <w:r>
        <w:t>Biktarvy</w:t>
      </w:r>
      <w:r w:rsidRPr="007056ED">
        <w:t xml:space="preserve">™ for CrCl&lt; 30.  </w:t>
      </w:r>
    </w:p>
    <w:p w:rsidR="003A24BC" w:rsidRPr="006D648A" w:rsidRDefault="003A24BC" w:rsidP="0080660E">
      <w:pPr>
        <w:pStyle w:val="Heading4"/>
        <w:rPr>
          <w:b/>
        </w:rPr>
      </w:pPr>
    </w:p>
    <w:p w:rsidR="0080660E" w:rsidRPr="006D648A" w:rsidRDefault="0080660E" w:rsidP="0080660E">
      <w:pPr>
        <w:pStyle w:val="Heading4"/>
        <w:rPr>
          <w:b/>
        </w:rPr>
      </w:pPr>
      <w:r w:rsidRPr="0080660E">
        <w:rPr>
          <w:u w:val="single"/>
        </w:rPr>
        <w:t>Alternatives</w:t>
      </w:r>
      <w:r w:rsidRPr="007056ED">
        <w:t xml:space="preserve">  </w:t>
      </w:r>
    </w:p>
    <w:p w:rsidR="0080660E" w:rsidRDefault="003A24BC" w:rsidP="0080660E">
      <w:pPr>
        <w:pStyle w:val="ListBullet4"/>
      </w:pPr>
      <w:bookmarkStart w:id="1" w:name="_Hlk31208100"/>
      <w:r w:rsidRPr="000B1C23">
        <w:rPr>
          <w:b/>
        </w:rPr>
        <w:t>Preferred</w:t>
      </w:r>
      <w:r>
        <w:rPr>
          <w:b/>
        </w:rPr>
        <w:t xml:space="preserve"> alternative</w:t>
      </w:r>
      <w:r>
        <w:rPr>
          <w:b/>
        </w:rPr>
        <w:t>:</w:t>
      </w:r>
      <w:r>
        <w:t xml:space="preserve"> </w:t>
      </w:r>
      <w:bookmarkEnd w:id="1"/>
      <w:r w:rsidR="0080660E">
        <w:t xml:space="preserve">Once daily </w:t>
      </w:r>
      <w:r w:rsidR="0080660E" w:rsidRPr="006D648A">
        <w:t xml:space="preserve">Darunavir </w:t>
      </w:r>
      <w:r w:rsidR="0080660E">
        <w:t>&amp;</w:t>
      </w:r>
      <w:r w:rsidR="0080660E" w:rsidRPr="006D648A">
        <w:t xml:space="preserve"> </w:t>
      </w:r>
      <w:r w:rsidR="0080660E">
        <w:t>cobicistat &amp;</w:t>
      </w:r>
      <w:r w:rsidR="0080660E" w:rsidRPr="006D648A">
        <w:t xml:space="preserve"> tenofovir </w:t>
      </w:r>
      <w:r w:rsidR="0080660E" w:rsidRPr="006D648A">
        <w:rPr>
          <w:highlight w:val="yellow"/>
        </w:rPr>
        <w:t>AF</w:t>
      </w:r>
      <w:r w:rsidR="0080660E" w:rsidRPr="006D648A">
        <w:t xml:space="preserve"> &amp; </w:t>
      </w:r>
      <w:r w:rsidR="0080660E" w:rsidRPr="007056ED">
        <w:t>emtricitabine</w:t>
      </w:r>
      <w:r w:rsidR="0080660E">
        <w:t xml:space="preserve"> (Symtuza™ single tablet regimen) </w:t>
      </w:r>
      <w:r w:rsidR="0080660E" w:rsidRPr="007056ED">
        <w:t xml:space="preserve">do not use </w:t>
      </w:r>
      <w:r w:rsidR="0080660E">
        <w:t>if</w:t>
      </w:r>
      <w:r w:rsidR="0080660E" w:rsidRPr="007056ED">
        <w:t xml:space="preserve"> CrCl&lt; 30</w:t>
      </w:r>
    </w:p>
    <w:p w:rsidR="003A24BC" w:rsidRPr="00540664" w:rsidRDefault="003A24BC" w:rsidP="003A24BC">
      <w:pPr>
        <w:pStyle w:val="Heading5"/>
        <w:rPr>
          <w:b/>
          <w:u w:val="single"/>
        </w:rPr>
      </w:pPr>
      <w:bookmarkStart w:id="2" w:name="_Hlk31208118"/>
      <w:r w:rsidRPr="00540664">
        <w:rPr>
          <w:b/>
          <w:u w:val="single"/>
        </w:rPr>
        <w:t xml:space="preserve">OR </w:t>
      </w:r>
    </w:p>
    <w:p w:rsidR="0080660E" w:rsidRPr="00CD7ED1" w:rsidRDefault="003A24BC" w:rsidP="0080660E">
      <w:pPr>
        <w:pStyle w:val="ListBullet4"/>
      </w:pPr>
      <w:bookmarkStart w:id="3" w:name="_Hlk31208206"/>
      <w:bookmarkEnd w:id="2"/>
      <w:proofErr w:type="gramStart"/>
      <w:r>
        <w:rPr>
          <w:b/>
        </w:rPr>
        <w:t>Other</w:t>
      </w:r>
      <w:proofErr w:type="gramEnd"/>
      <w:r>
        <w:rPr>
          <w:b/>
        </w:rPr>
        <w:t xml:space="preserve"> alternative</w:t>
      </w:r>
      <w:r>
        <w:t xml:space="preserve"> </w:t>
      </w:r>
      <w:bookmarkEnd w:id="3"/>
      <w:r w:rsidR="0080660E">
        <w:t xml:space="preserve">Once daily </w:t>
      </w:r>
      <w:r w:rsidR="0080660E" w:rsidRPr="006D648A">
        <w:t xml:space="preserve">rilpivirine </w:t>
      </w:r>
      <w:r w:rsidR="0080660E">
        <w:t>&amp;</w:t>
      </w:r>
      <w:r w:rsidR="0080660E" w:rsidRPr="006D648A">
        <w:t xml:space="preserve"> tenofovir </w:t>
      </w:r>
      <w:r w:rsidR="0080660E" w:rsidRPr="006D648A">
        <w:rPr>
          <w:highlight w:val="yellow"/>
        </w:rPr>
        <w:t>AF</w:t>
      </w:r>
      <w:r w:rsidR="0080660E" w:rsidRPr="006D648A">
        <w:t xml:space="preserve"> &amp; </w:t>
      </w:r>
      <w:r w:rsidR="0080660E" w:rsidRPr="007056ED">
        <w:t>emtricitabine</w:t>
      </w:r>
      <w:r w:rsidR="0080660E">
        <w:t xml:space="preserve"> </w:t>
      </w:r>
      <w:r w:rsidR="0080660E" w:rsidRPr="006D648A">
        <w:t>(</w:t>
      </w:r>
      <w:r w:rsidR="0080660E">
        <w:t>Odefsey™ single tablet regimen); do</w:t>
      </w:r>
      <w:r w:rsidR="0080660E" w:rsidRPr="006D648A">
        <w:t xml:space="preserve"> not be use if on a PPI</w:t>
      </w:r>
      <w:r w:rsidR="0080660E">
        <w:t xml:space="preserve"> or </w:t>
      </w:r>
      <w:r w:rsidR="0080660E" w:rsidRPr="007056ED">
        <w:t>CrCl&lt; 30</w:t>
      </w:r>
      <w:r w:rsidR="0080660E">
        <w:t>.</w:t>
      </w:r>
    </w:p>
    <w:p w:rsidR="003A24BC" w:rsidRDefault="003A24BC" w:rsidP="0080660E">
      <w:pPr>
        <w:pStyle w:val="Heading5"/>
      </w:pPr>
    </w:p>
    <w:p w:rsidR="0080660E" w:rsidRDefault="0080660E" w:rsidP="0080660E">
      <w:pPr>
        <w:pStyle w:val="Heading5"/>
      </w:pPr>
      <w:r w:rsidRPr="006D648A">
        <w:t xml:space="preserve">Note drug-drug interactions with </w:t>
      </w:r>
      <w:r>
        <w:t>both regimens</w:t>
      </w:r>
    </w:p>
    <w:p w:rsidR="0080660E" w:rsidRPr="006D648A" w:rsidRDefault="0080660E" w:rsidP="0080660E">
      <w:pPr>
        <w:pStyle w:val="Heading5"/>
      </w:pPr>
    </w:p>
    <w:p w:rsidR="0080660E" w:rsidRPr="007056ED" w:rsidRDefault="0080660E" w:rsidP="0080660E">
      <w:pPr>
        <w:pStyle w:val="Heading4"/>
        <w:rPr>
          <w:b/>
          <w:sz w:val="24"/>
        </w:rPr>
      </w:pPr>
      <w:r w:rsidRPr="007056ED">
        <w:rPr>
          <w:u w:val="single"/>
        </w:rPr>
        <w:t>Renal insufficiency (CrCl &lt; 30)</w:t>
      </w:r>
      <w:r w:rsidRPr="007056ED">
        <w:t xml:space="preserve">:  use </w:t>
      </w:r>
      <w:bookmarkStart w:id="4" w:name="_Hlk31195043"/>
      <w:r w:rsidRPr="007056ED">
        <w:t>dose-adjusted zidovudine and lamivudine</w:t>
      </w:r>
      <w:r>
        <w:t xml:space="preserve"> (</w:t>
      </w:r>
      <w:r w:rsidRPr="007056ED">
        <w:t>DO NOT USE COMBIVIR™</w:t>
      </w:r>
      <w:r>
        <w:t xml:space="preserve">) </w:t>
      </w:r>
      <w:r w:rsidRPr="00960CCD">
        <w:rPr>
          <w:b/>
        </w:rPr>
        <w:t>plus</w:t>
      </w:r>
      <w:r>
        <w:t xml:space="preserve"> dolutegravir 50 mg daily</w:t>
      </w:r>
      <w:r w:rsidRPr="007056ED">
        <w:t xml:space="preserve"> </w:t>
      </w:r>
      <w:bookmarkEnd w:id="4"/>
    </w:p>
    <w:p w:rsidR="004B044C" w:rsidRDefault="004B044C" w:rsidP="00357838"/>
    <w:p w:rsidR="00357838" w:rsidRPr="002F2019" w:rsidRDefault="00357838" w:rsidP="00357838">
      <w:pPr>
        <w:pStyle w:val="Heading4"/>
        <w:rPr>
          <w:u w:val="single"/>
        </w:rPr>
      </w:pPr>
      <w:bookmarkStart w:id="5" w:name="_Hlk31208316"/>
      <w:r w:rsidRPr="002F2019">
        <w:rPr>
          <w:u w:val="single"/>
        </w:rPr>
        <w:t>Antiretroviral resistance and selection of post-exposure prophylaxis</w:t>
      </w:r>
    </w:p>
    <w:p w:rsidR="00357838" w:rsidRPr="002F2019" w:rsidRDefault="00357838" w:rsidP="00357838">
      <w:pPr>
        <w:pStyle w:val="ListBullet4"/>
      </w:pPr>
      <w:r w:rsidRPr="002F2019">
        <w:t xml:space="preserve">An HIV strain is more likely to be resistant to a specific antiretroviral agent if it is derived from a patient who has had </w:t>
      </w:r>
      <w:r w:rsidR="005643E5" w:rsidRPr="002F2019">
        <w:t>an</w:t>
      </w:r>
      <w:r w:rsidRPr="002F2019">
        <w:t xml:space="preserve"> HIV viral load &gt; 500 for 3 – 6 months while receiving antiretroviral therapy.   </w:t>
      </w:r>
    </w:p>
    <w:p w:rsidR="00357838" w:rsidRPr="002F2019" w:rsidRDefault="00357838" w:rsidP="00357838">
      <w:pPr>
        <w:pStyle w:val="ListBullet4"/>
      </w:pPr>
      <w:r w:rsidRPr="002F2019">
        <w:t>Assistance from Infectious Diseases should be sought for management of exposure to HIV that is likely to be resistant to one or more anti-retroviral agents.</w:t>
      </w:r>
    </w:p>
    <w:p w:rsidR="00357838" w:rsidRDefault="00357838" w:rsidP="00357838"/>
    <w:p w:rsidR="00357838" w:rsidRPr="00357838" w:rsidRDefault="00357838" w:rsidP="00357838">
      <w:pPr>
        <w:pStyle w:val="Heading4"/>
        <w:rPr>
          <w:u w:val="single"/>
        </w:rPr>
      </w:pPr>
      <w:r>
        <w:rPr>
          <w:u w:val="single"/>
        </w:rPr>
        <w:t>Contraindicated regimens</w:t>
      </w:r>
    </w:p>
    <w:p w:rsidR="004B044C" w:rsidRPr="006D648A" w:rsidRDefault="004B044C" w:rsidP="00357838">
      <w:pPr>
        <w:pStyle w:val="ListBullet4"/>
      </w:pPr>
      <w:r w:rsidRPr="00357838">
        <w:rPr>
          <w:b/>
        </w:rPr>
        <w:t>Abacavir-containing products are CONTRAINDICATED</w:t>
      </w:r>
      <w:r w:rsidRPr="006D648A">
        <w:t xml:space="preserve"> for use as post-exposure prophylaxis unless B*5701 testing has been previously performed and HLA B*5701 has been shown to be absent.   Persons with HLA B*5701 have a 60% risk of developing hypersensitivity reactions which can be severe and fatal.  Caution should be taken to not accidentally prescribe TRIUMEQ, which is a combination of dolutegravir with abacavir and lamivudine</w:t>
      </w:r>
    </w:p>
    <w:p w:rsidR="004B044C" w:rsidRPr="006D648A" w:rsidRDefault="004B044C" w:rsidP="00357838">
      <w:pPr>
        <w:pStyle w:val="ListBullet4"/>
      </w:pPr>
      <w:r w:rsidRPr="00357838">
        <w:rPr>
          <w:b/>
        </w:rPr>
        <w:t>Post-exposure prophylaxis with nevirapine is CONTRAINDICATED</w:t>
      </w:r>
      <w:r w:rsidRPr="006D648A">
        <w:t>.  Fatal hypersensitivity reactions can occur.</w:t>
      </w:r>
    </w:p>
    <w:p w:rsidR="00357838" w:rsidRDefault="00357838" w:rsidP="00357838">
      <w:pPr>
        <w:pStyle w:val="Heading4"/>
      </w:pPr>
    </w:p>
    <w:p w:rsidR="00357838" w:rsidRPr="006D648A" w:rsidRDefault="00357838" w:rsidP="00357838">
      <w:pPr>
        <w:pStyle w:val="Heading4"/>
      </w:pPr>
      <w:r w:rsidRPr="00357838">
        <w:rPr>
          <w:u w:val="single"/>
        </w:rPr>
        <w:t>Pregnancy</w:t>
      </w:r>
    </w:p>
    <w:p w:rsidR="00357838" w:rsidRPr="00CD7ED1" w:rsidRDefault="00357838" w:rsidP="00357838">
      <w:pPr>
        <w:pStyle w:val="ListBullet4"/>
      </w:pPr>
      <w:r w:rsidRPr="00CD7ED1">
        <w:rPr>
          <w:b/>
        </w:rPr>
        <w:t>Efavirenz is a</w:t>
      </w:r>
      <w:r w:rsidRPr="00CD7ED1">
        <w:t xml:space="preserve"> </w:t>
      </w:r>
      <w:r w:rsidRPr="00CD7ED1">
        <w:rPr>
          <w:b/>
        </w:rPr>
        <w:t>CLASS D AGENT in pregnancy</w:t>
      </w:r>
      <w:r w:rsidRPr="00CD7ED1">
        <w:rPr>
          <w:b/>
          <w:i/>
        </w:rPr>
        <w:t xml:space="preserve"> </w:t>
      </w:r>
      <w:r w:rsidRPr="00CD7ED1">
        <w:rPr>
          <w:b/>
        </w:rPr>
        <w:t xml:space="preserve">(Positive Evidence of Fetal Risk). </w:t>
      </w:r>
      <w:r w:rsidRPr="00CD7ED1">
        <w:t xml:space="preserve"> </w:t>
      </w:r>
      <w:r w:rsidRPr="00CD7ED1">
        <w:rPr>
          <w:b/>
        </w:rPr>
        <w:t>Do not use</w:t>
      </w:r>
      <w:r w:rsidR="00667E70">
        <w:rPr>
          <w:b/>
        </w:rPr>
        <w:t xml:space="preserve"> for HIV prophylaxis</w:t>
      </w:r>
      <w:r w:rsidRPr="00CD7ED1">
        <w:rPr>
          <w:b/>
        </w:rPr>
        <w:t xml:space="preserve"> in pregnancy</w:t>
      </w:r>
      <w:r w:rsidRPr="00CD7ED1">
        <w:t xml:space="preserve">, especially during the first trimester or in women of child-bearing potential who are not using effective contraceptives.  </w:t>
      </w:r>
    </w:p>
    <w:p w:rsidR="00357838" w:rsidRPr="00CD7ED1" w:rsidRDefault="00357838" w:rsidP="00357838">
      <w:pPr>
        <w:pStyle w:val="ListBullet4"/>
      </w:pPr>
      <w:r w:rsidRPr="00CD7ED1">
        <w:t xml:space="preserve">There are no specific contra-indications to the use of </w:t>
      </w:r>
      <w:r>
        <w:t xml:space="preserve">other </w:t>
      </w:r>
      <w:r w:rsidRPr="00CD7ED1">
        <w:t xml:space="preserve">anti-retroviral agents recommended in this document for post-exposure prophylaxis during pregnancy.  </w:t>
      </w:r>
    </w:p>
    <w:p w:rsidR="00357838" w:rsidRPr="00CD7ED1" w:rsidRDefault="00357838" w:rsidP="00357838">
      <w:pPr>
        <w:pStyle w:val="ListBullet4"/>
      </w:pPr>
      <w:r w:rsidRPr="00CD7ED1">
        <w:t xml:space="preserve">Further information regarding the safety of anti-retroviral agents during pregnancy and the effects of individual agents on the effectiveness of hormonal birth control can be found at </w:t>
      </w:r>
      <w:hyperlink r:id="rId8" w:history="1">
        <w:r w:rsidRPr="00CD7ED1">
          <w:rPr>
            <w:rStyle w:val="Hyperlink"/>
          </w:rPr>
          <w:t>http://aidsinfo.nih.gov/guidelines/html/3/perinatal-guidelines/0/</w:t>
        </w:r>
      </w:hyperlink>
      <w:r w:rsidRPr="00CD7ED1">
        <w:t xml:space="preserve">.  </w:t>
      </w:r>
    </w:p>
    <w:p w:rsidR="00357838" w:rsidRDefault="00357838" w:rsidP="00357838">
      <w:bookmarkStart w:id="6" w:name="_Antiretroviral_resistance_and_selec_1"/>
      <w:bookmarkEnd w:id="6"/>
    </w:p>
    <w:p w:rsidR="00357838" w:rsidRDefault="00357838" w:rsidP="00357838">
      <w:pPr>
        <w:pStyle w:val="Heading4"/>
      </w:pPr>
      <w:r w:rsidRPr="00357838">
        <w:rPr>
          <w:u w:val="single"/>
        </w:rPr>
        <w:t>Breastfeeding</w:t>
      </w:r>
      <w:r>
        <w:t xml:space="preserve">:  Breast -feeding is not a contraindication to use of </w:t>
      </w:r>
      <w:r w:rsidRPr="006D648A">
        <w:t>post-exposure prophylaxis</w:t>
      </w:r>
      <w:r>
        <w:t xml:space="preserve">, given the high risk of mother-to-infant transmission with acute HIV infection during breast-feeding.  To </w:t>
      </w:r>
      <w:proofErr w:type="gramStart"/>
      <w:r>
        <w:t>completely eliminate</w:t>
      </w:r>
      <w:proofErr w:type="gramEnd"/>
      <w:r>
        <w:t xml:space="preserve"> risk, discontinuation of breast-feeding can be considered.</w:t>
      </w:r>
    </w:p>
    <w:bookmarkEnd w:id="5"/>
    <w:p w:rsidR="00357838" w:rsidRDefault="00357838" w:rsidP="00357838"/>
    <w:p w:rsidR="00357838" w:rsidRDefault="00357838" w:rsidP="00357838">
      <w:pPr>
        <w:pStyle w:val="Heading3"/>
        <w:rPr>
          <w:b/>
        </w:rPr>
      </w:pPr>
      <w:r>
        <w:rPr>
          <w:b/>
        </w:rPr>
        <w:t>C</w:t>
      </w:r>
      <w:r w:rsidRPr="001E1FEB">
        <w:rPr>
          <w:b/>
        </w:rPr>
        <w:t>.</w:t>
      </w:r>
      <w:r w:rsidRPr="001E1FEB">
        <w:rPr>
          <w:b/>
        </w:rPr>
        <w:tab/>
      </w:r>
      <w:r w:rsidRPr="00357838">
        <w:rPr>
          <w:b/>
        </w:rPr>
        <w:t>Dosing recommendations and medication side</w:t>
      </w:r>
    </w:p>
    <w:p w:rsidR="0030340B" w:rsidRDefault="0030340B" w:rsidP="0030340B"/>
    <w:p w:rsidR="0030340B" w:rsidRDefault="0030340B" w:rsidP="0030340B">
      <w:pPr>
        <w:pStyle w:val="Heading4"/>
      </w:pPr>
      <w:r>
        <w:rPr>
          <w:u w:val="single"/>
        </w:rPr>
        <w:t>Duration</w:t>
      </w:r>
      <w:r>
        <w:t>:  28</w:t>
      </w:r>
      <w:r w:rsidRPr="000D46C8">
        <w:t xml:space="preserve"> days of therapy should be </w:t>
      </w:r>
      <w:r>
        <w:t>prescribed</w:t>
      </w:r>
    </w:p>
    <w:p w:rsidR="00347A33" w:rsidRDefault="00347A33" w:rsidP="0030340B">
      <w:pPr>
        <w:pStyle w:val="Heading4"/>
      </w:pPr>
    </w:p>
    <w:tbl>
      <w:tblPr>
        <w:tblW w:w="0" w:type="auto"/>
        <w:tblInd w:w="558" w:type="dxa"/>
        <w:tblBorders>
          <w:top w:val="single" w:sz="4" w:space="0" w:color="auto"/>
          <w:bottom w:val="single" w:sz="4" w:space="0" w:color="auto"/>
          <w:insideH w:val="single" w:sz="4" w:space="0" w:color="auto"/>
        </w:tblBorders>
        <w:tblLook w:val="00A0" w:firstRow="1" w:lastRow="0" w:firstColumn="1" w:lastColumn="0" w:noHBand="0" w:noVBand="0"/>
      </w:tblPr>
      <w:tblGrid>
        <w:gridCol w:w="2777"/>
        <w:gridCol w:w="56"/>
        <w:gridCol w:w="111"/>
        <w:gridCol w:w="1948"/>
        <w:gridCol w:w="5350"/>
      </w:tblGrid>
      <w:tr w:rsidR="00347A33" w:rsidRPr="00CD7ED1" w:rsidTr="00286D28">
        <w:tc>
          <w:tcPr>
            <w:tcW w:w="3002" w:type="dxa"/>
            <w:gridSpan w:val="3"/>
            <w:tcBorders>
              <w:top w:val="nil"/>
              <w:bottom w:val="single" w:sz="8" w:space="0" w:color="auto"/>
            </w:tcBorders>
          </w:tcPr>
          <w:p w:rsidR="00347A33" w:rsidRPr="00CD7ED1" w:rsidRDefault="00347A33" w:rsidP="00286D28">
            <w:pPr>
              <w:autoSpaceDE w:val="0"/>
              <w:autoSpaceDN w:val="0"/>
              <w:adjustRightInd w:val="0"/>
              <w:spacing w:after="120"/>
              <w:rPr>
                <w:b/>
                <w:szCs w:val="22"/>
              </w:rPr>
            </w:pPr>
            <w:r w:rsidRPr="00CD7ED1">
              <w:rPr>
                <w:b/>
                <w:szCs w:val="22"/>
              </w:rPr>
              <w:t>Agent</w:t>
            </w:r>
          </w:p>
        </w:tc>
        <w:tc>
          <w:tcPr>
            <w:tcW w:w="2304" w:type="dxa"/>
            <w:tcBorders>
              <w:top w:val="nil"/>
              <w:bottom w:val="single" w:sz="8" w:space="0" w:color="auto"/>
            </w:tcBorders>
          </w:tcPr>
          <w:p w:rsidR="00347A33" w:rsidRPr="00CD7ED1" w:rsidRDefault="00347A33" w:rsidP="00286D28">
            <w:pPr>
              <w:autoSpaceDE w:val="0"/>
              <w:autoSpaceDN w:val="0"/>
              <w:adjustRightInd w:val="0"/>
              <w:spacing w:after="120"/>
              <w:rPr>
                <w:b/>
                <w:szCs w:val="22"/>
              </w:rPr>
            </w:pPr>
            <w:r w:rsidRPr="00CD7ED1">
              <w:rPr>
                <w:b/>
                <w:szCs w:val="22"/>
              </w:rPr>
              <w:t>Standard Adult dosage#</w:t>
            </w:r>
          </w:p>
        </w:tc>
        <w:tc>
          <w:tcPr>
            <w:tcW w:w="7970" w:type="dxa"/>
            <w:tcBorders>
              <w:top w:val="nil"/>
              <w:bottom w:val="single" w:sz="8" w:space="0" w:color="auto"/>
            </w:tcBorders>
          </w:tcPr>
          <w:p w:rsidR="00347A33" w:rsidRPr="00CD7ED1" w:rsidRDefault="00347A33" w:rsidP="00286D28">
            <w:pPr>
              <w:autoSpaceDE w:val="0"/>
              <w:autoSpaceDN w:val="0"/>
              <w:adjustRightInd w:val="0"/>
              <w:spacing w:after="120"/>
              <w:rPr>
                <w:b/>
                <w:szCs w:val="22"/>
              </w:rPr>
            </w:pPr>
            <w:r w:rsidRPr="00CD7ED1">
              <w:rPr>
                <w:b/>
                <w:szCs w:val="22"/>
              </w:rPr>
              <w:t>Side effects and toxicities</w:t>
            </w:r>
          </w:p>
        </w:tc>
      </w:tr>
      <w:tr w:rsidR="00347A33" w:rsidRPr="00CD7ED1" w:rsidTr="00286D28">
        <w:tc>
          <w:tcPr>
            <w:tcW w:w="13276" w:type="dxa"/>
            <w:gridSpan w:val="5"/>
            <w:tcBorders>
              <w:top w:val="single" w:sz="8" w:space="0" w:color="auto"/>
              <w:bottom w:val="single" w:sz="8" w:space="0" w:color="auto"/>
            </w:tcBorders>
          </w:tcPr>
          <w:p w:rsidR="00347A33" w:rsidRPr="00CD7ED1" w:rsidRDefault="00347A33" w:rsidP="00286D28">
            <w:pPr>
              <w:autoSpaceDE w:val="0"/>
              <w:autoSpaceDN w:val="0"/>
              <w:adjustRightInd w:val="0"/>
              <w:spacing w:after="120"/>
              <w:rPr>
                <w:i/>
                <w:szCs w:val="22"/>
              </w:rPr>
            </w:pPr>
            <w:r w:rsidRPr="00CD7ED1">
              <w:rPr>
                <w:i/>
                <w:szCs w:val="22"/>
              </w:rPr>
              <w:t xml:space="preserve">NRTIs </w:t>
            </w:r>
            <w:r>
              <w:rPr>
                <w:i/>
                <w:szCs w:val="22"/>
              </w:rPr>
              <w:t xml:space="preserve">- </w:t>
            </w:r>
            <w:r w:rsidRPr="00CD7ED1">
              <w:rPr>
                <w:i/>
                <w:szCs w:val="22"/>
              </w:rPr>
              <w:t>use combination products</w:t>
            </w:r>
          </w:p>
        </w:tc>
      </w:tr>
      <w:tr w:rsidR="00347A33" w:rsidRPr="00CD7ED1" w:rsidTr="00286D28">
        <w:tc>
          <w:tcPr>
            <w:tcW w:w="2776" w:type="dxa"/>
          </w:tcPr>
          <w:p w:rsidR="00347A33" w:rsidRDefault="00347A33" w:rsidP="00286D28">
            <w:pPr>
              <w:autoSpaceDE w:val="0"/>
              <w:autoSpaceDN w:val="0"/>
              <w:adjustRightInd w:val="0"/>
              <w:spacing w:after="120"/>
              <w:rPr>
                <w:szCs w:val="22"/>
              </w:rPr>
            </w:pPr>
            <w:r w:rsidRPr="00CD7ED1">
              <w:rPr>
                <w:szCs w:val="22"/>
              </w:rPr>
              <w:t>Tenofovir</w:t>
            </w:r>
            <w:r>
              <w:rPr>
                <w:szCs w:val="22"/>
              </w:rPr>
              <w:t xml:space="preserve"> AF/emtricitabine</w:t>
            </w:r>
            <w:r>
              <w:rPr>
                <w:szCs w:val="22"/>
              </w:rPr>
              <w:br/>
              <w:t>(TAF/FTC, Descovy</w:t>
            </w:r>
            <w:r w:rsidRPr="00CD7ED1">
              <w:rPr>
                <w:szCs w:val="22"/>
              </w:rPr>
              <w:t>®)</w:t>
            </w:r>
          </w:p>
          <w:p w:rsidR="00347A33" w:rsidRPr="00CD7ED1" w:rsidRDefault="00347A33" w:rsidP="00286D28">
            <w:pPr>
              <w:autoSpaceDE w:val="0"/>
              <w:autoSpaceDN w:val="0"/>
              <w:adjustRightInd w:val="0"/>
              <w:spacing w:after="120"/>
              <w:rPr>
                <w:szCs w:val="22"/>
              </w:rPr>
            </w:pPr>
            <w:r w:rsidRPr="00683E30">
              <w:rPr>
                <w:szCs w:val="22"/>
              </w:rPr>
              <w:t>May be taken with or without food</w:t>
            </w:r>
          </w:p>
        </w:tc>
        <w:tc>
          <w:tcPr>
            <w:tcW w:w="2530" w:type="dxa"/>
            <w:gridSpan w:val="3"/>
          </w:tcPr>
          <w:p w:rsidR="00347A33" w:rsidRPr="00CD7ED1" w:rsidRDefault="00347A33" w:rsidP="00286D28">
            <w:pPr>
              <w:autoSpaceDE w:val="0"/>
              <w:autoSpaceDN w:val="0"/>
              <w:adjustRightInd w:val="0"/>
              <w:spacing w:after="120"/>
              <w:rPr>
                <w:szCs w:val="22"/>
              </w:rPr>
            </w:pPr>
            <w:r w:rsidRPr="00CD7ED1">
              <w:rPr>
                <w:szCs w:val="22"/>
              </w:rPr>
              <w:t>1 tablet once daily</w:t>
            </w:r>
          </w:p>
          <w:p w:rsidR="00347A33" w:rsidRPr="00CD7ED1" w:rsidRDefault="00347A33" w:rsidP="00286D28">
            <w:pPr>
              <w:autoSpaceDE w:val="0"/>
              <w:autoSpaceDN w:val="0"/>
              <w:adjustRightInd w:val="0"/>
              <w:spacing w:after="120"/>
              <w:rPr>
                <w:szCs w:val="22"/>
              </w:rPr>
            </w:pPr>
            <w:r w:rsidRPr="00CD7ED1">
              <w:rPr>
                <w:szCs w:val="22"/>
              </w:rPr>
              <w:t>200 mg FTC/</w:t>
            </w:r>
            <w:r>
              <w:rPr>
                <w:szCs w:val="22"/>
              </w:rPr>
              <w:t xml:space="preserve">25 </w:t>
            </w:r>
            <w:r w:rsidRPr="00CD7ED1">
              <w:rPr>
                <w:szCs w:val="22"/>
              </w:rPr>
              <w:t>mg T</w:t>
            </w:r>
            <w:r>
              <w:rPr>
                <w:szCs w:val="22"/>
              </w:rPr>
              <w:t>AF</w:t>
            </w:r>
          </w:p>
          <w:p w:rsidR="00347A33" w:rsidRPr="00CD7ED1" w:rsidRDefault="00347A33" w:rsidP="00286D28">
            <w:pPr>
              <w:autoSpaceDE w:val="0"/>
              <w:autoSpaceDN w:val="0"/>
              <w:adjustRightInd w:val="0"/>
              <w:spacing w:after="120"/>
              <w:rPr>
                <w:szCs w:val="22"/>
              </w:rPr>
            </w:pPr>
            <w:r w:rsidRPr="00972F55">
              <w:rPr>
                <w:szCs w:val="22"/>
              </w:rPr>
              <w:t>Do not use</w:t>
            </w:r>
            <w:r>
              <w:rPr>
                <w:szCs w:val="22"/>
              </w:rPr>
              <w:t xml:space="preserve"> Descovy</w:t>
            </w:r>
            <w:r w:rsidRPr="00972F55">
              <w:rPr>
                <w:szCs w:val="22"/>
              </w:rPr>
              <w:t xml:space="preserve"> </w:t>
            </w:r>
            <w:proofErr w:type="gramStart"/>
            <w:r w:rsidRPr="00972F55">
              <w:rPr>
                <w:szCs w:val="22"/>
              </w:rPr>
              <w:t>if  CrCl</w:t>
            </w:r>
            <w:proofErr w:type="gramEnd"/>
            <w:r w:rsidRPr="00972F55">
              <w:rPr>
                <w:szCs w:val="22"/>
              </w:rPr>
              <w:t xml:space="preserve"> &lt; 30</w:t>
            </w:r>
          </w:p>
        </w:tc>
        <w:tc>
          <w:tcPr>
            <w:tcW w:w="7970" w:type="dxa"/>
          </w:tcPr>
          <w:p w:rsidR="00347A33" w:rsidRPr="00CD7ED1" w:rsidRDefault="00347A33" w:rsidP="00286D28">
            <w:pPr>
              <w:autoSpaceDE w:val="0"/>
              <w:autoSpaceDN w:val="0"/>
              <w:adjustRightInd w:val="0"/>
              <w:spacing w:after="120"/>
              <w:rPr>
                <w:szCs w:val="22"/>
              </w:rPr>
            </w:pPr>
            <w:r>
              <w:rPr>
                <w:szCs w:val="22"/>
                <w:u w:val="single"/>
              </w:rPr>
              <w:t>TAF</w:t>
            </w:r>
            <w:r w:rsidRPr="00CD7ED1">
              <w:rPr>
                <w:szCs w:val="22"/>
              </w:rPr>
              <w:t xml:space="preserve">:  Nausea, vomiting, diarrhea; headache; asthenia; flatulence; and renal impairment </w:t>
            </w:r>
          </w:p>
          <w:p w:rsidR="00347A33" w:rsidRPr="00CD7ED1" w:rsidRDefault="00347A33" w:rsidP="00286D28">
            <w:pPr>
              <w:autoSpaceDE w:val="0"/>
              <w:autoSpaceDN w:val="0"/>
              <w:adjustRightInd w:val="0"/>
              <w:spacing w:after="120"/>
              <w:rPr>
                <w:szCs w:val="22"/>
              </w:rPr>
            </w:pPr>
            <w:r w:rsidRPr="00CD7ED1">
              <w:rPr>
                <w:szCs w:val="22"/>
                <w:u w:val="single"/>
              </w:rPr>
              <w:t>FTC</w:t>
            </w:r>
            <w:r w:rsidRPr="00CD7ED1">
              <w:rPr>
                <w:szCs w:val="22"/>
              </w:rPr>
              <w:t>:  Minimal toxicity; lactic acidosis and hepatic steatosis is a rare but possibly life-threatening event</w:t>
            </w:r>
          </w:p>
        </w:tc>
      </w:tr>
      <w:tr w:rsidR="00347A33" w:rsidRPr="00CD7ED1" w:rsidTr="00286D28">
        <w:tc>
          <w:tcPr>
            <w:tcW w:w="13276" w:type="dxa"/>
            <w:gridSpan w:val="5"/>
          </w:tcPr>
          <w:p w:rsidR="00347A33" w:rsidRPr="00CD7ED1" w:rsidRDefault="00347A33" w:rsidP="00286D28">
            <w:pPr>
              <w:autoSpaceDE w:val="0"/>
              <w:autoSpaceDN w:val="0"/>
              <w:adjustRightInd w:val="0"/>
              <w:spacing w:after="120"/>
              <w:rPr>
                <w:szCs w:val="22"/>
              </w:rPr>
            </w:pPr>
            <w:r w:rsidRPr="00265677">
              <w:rPr>
                <w:i/>
                <w:szCs w:val="22"/>
              </w:rPr>
              <w:t>INSTI (integrase strand transfer inhibitor)</w:t>
            </w:r>
            <w:r>
              <w:rPr>
                <w:i/>
                <w:szCs w:val="22"/>
              </w:rPr>
              <w:t xml:space="preserve"> </w:t>
            </w:r>
          </w:p>
        </w:tc>
      </w:tr>
      <w:tr w:rsidR="00347A33" w:rsidRPr="00CD7ED1" w:rsidTr="00286D28">
        <w:tc>
          <w:tcPr>
            <w:tcW w:w="2837" w:type="dxa"/>
            <w:gridSpan w:val="2"/>
          </w:tcPr>
          <w:p w:rsidR="00347A33" w:rsidRPr="00476B41" w:rsidRDefault="00347A33" w:rsidP="00286D28">
            <w:pPr>
              <w:autoSpaceDE w:val="0"/>
              <w:autoSpaceDN w:val="0"/>
              <w:adjustRightInd w:val="0"/>
              <w:spacing w:after="120"/>
              <w:ind w:left="720" w:hanging="720"/>
              <w:rPr>
                <w:szCs w:val="22"/>
              </w:rPr>
            </w:pPr>
            <w:r>
              <w:rPr>
                <w:szCs w:val="22"/>
              </w:rPr>
              <w:t>Biktarvy</w:t>
            </w:r>
            <w:r w:rsidRPr="007056ED">
              <w:t>™</w:t>
            </w:r>
          </w:p>
          <w:p w:rsidR="00347A33" w:rsidRPr="00476B41" w:rsidRDefault="00347A33" w:rsidP="00286D28">
            <w:pPr>
              <w:autoSpaceDE w:val="0"/>
              <w:autoSpaceDN w:val="0"/>
              <w:adjustRightInd w:val="0"/>
              <w:spacing w:after="120"/>
              <w:rPr>
                <w:szCs w:val="22"/>
              </w:rPr>
            </w:pPr>
            <w:r w:rsidRPr="00476B41">
              <w:rPr>
                <w:szCs w:val="22"/>
              </w:rPr>
              <w:t>May be taken with or without food</w:t>
            </w:r>
          </w:p>
        </w:tc>
        <w:tc>
          <w:tcPr>
            <w:tcW w:w="2469" w:type="dxa"/>
            <w:gridSpan w:val="2"/>
          </w:tcPr>
          <w:p w:rsidR="00347A33" w:rsidRPr="00CD7ED1" w:rsidRDefault="00347A33" w:rsidP="00286D28">
            <w:pPr>
              <w:autoSpaceDE w:val="0"/>
              <w:autoSpaceDN w:val="0"/>
              <w:adjustRightInd w:val="0"/>
              <w:spacing w:after="120"/>
              <w:rPr>
                <w:szCs w:val="22"/>
              </w:rPr>
            </w:pPr>
            <w:r w:rsidRPr="00CD7ED1">
              <w:rPr>
                <w:szCs w:val="22"/>
              </w:rPr>
              <w:t>1 tablet once daily</w:t>
            </w:r>
          </w:p>
          <w:p w:rsidR="00347A33" w:rsidRPr="00476B41" w:rsidRDefault="00347A33" w:rsidP="00286D28">
            <w:pPr>
              <w:autoSpaceDE w:val="0"/>
              <w:autoSpaceDN w:val="0"/>
              <w:adjustRightInd w:val="0"/>
              <w:spacing w:after="120"/>
              <w:rPr>
                <w:szCs w:val="22"/>
              </w:rPr>
            </w:pPr>
            <w:r>
              <w:rPr>
                <w:szCs w:val="22"/>
              </w:rPr>
              <w:t>(</w:t>
            </w:r>
            <w:r w:rsidRPr="00476B41">
              <w:rPr>
                <w:szCs w:val="22"/>
              </w:rPr>
              <w:t xml:space="preserve">50 mg </w:t>
            </w:r>
            <w:r>
              <w:rPr>
                <w:szCs w:val="22"/>
              </w:rPr>
              <w:t>of bictegravir plus TAF/FTC as above)</w:t>
            </w:r>
          </w:p>
        </w:tc>
        <w:tc>
          <w:tcPr>
            <w:tcW w:w="7970" w:type="dxa"/>
          </w:tcPr>
          <w:p w:rsidR="00347A33" w:rsidRPr="004009ED" w:rsidRDefault="00347A33" w:rsidP="00286D28">
            <w:pPr>
              <w:autoSpaceDE w:val="0"/>
              <w:autoSpaceDN w:val="0"/>
              <w:adjustRightInd w:val="0"/>
              <w:rPr>
                <w:rFonts w:cs="Arial"/>
                <w:color w:val="000000"/>
                <w:szCs w:val="22"/>
                <w:shd w:val="clear" w:color="auto" w:fill="FFFFFF"/>
              </w:rPr>
            </w:pPr>
            <w:r w:rsidRPr="00CD7ED1">
              <w:rPr>
                <w:szCs w:val="22"/>
              </w:rPr>
              <w:t>Nausea, vomiting, diarrhea; headache; asthenia; flatulence; and renal impairment</w:t>
            </w:r>
            <w:r>
              <w:rPr>
                <w:szCs w:val="22"/>
              </w:rPr>
              <w:t xml:space="preserve">.  </w:t>
            </w:r>
          </w:p>
        </w:tc>
      </w:tr>
      <w:tr w:rsidR="00347A33" w:rsidRPr="00CD7ED1" w:rsidTr="00286D28">
        <w:tc>
          <w:tcPr>
            <w:tcW w:w="13276" w:type="dxa"/>
            <w:gridSpan w:val="5"/>
          </w:tcPr>
          <w:p w:rsidR="00347A33" w:rsidRPr="00CD7ED1" w:rsidRDefault="00347A33" w:rsidP="00286D28">
            <w:pPr>
              <w:autoSpaceDE w:val="0"/>
              <w:autoSpaceDN w:val="0"/>
              <w:adjustRightInd w:val="0"/>
              <w:spacing w:after="120"/>
              <w:rPr>
                <w:i/>
                <w:szCs w:val="22"/>
              </w:rPr>
            </w:pPr>
            <w:r w:rsidRPr="00CD7ED1">
              <w:rPr>
                <w:i/>
                <w:szCs w:val="22"/>
              </w:rPr>
              <w:t>PIs (protease inhibitors)</w:t>
            </w:r>
          </w:p>
        </w:tc>
      </w:tr>
      <w:tr w:rsidR="00347A33" w:rsidRPr="00CD7ED1" w:rsidTr="00286D28">
        <w:tc>
          <w:tcPr>
            <w:tcW w:w="2837" w:type="dxa"/>
            <w:gridSpan w:val="2"/>
          </w:tcPr>
          <w:p w:rsidR="00347A33" w:rsidRPr="00CD7ED1" w:rsidRDefault="00347A33" w:rsidP="00286D28">
            <w:pPr>
              <w:autoSpaceDE w:val="0"/>
              <w:autoSpaceDN w:val="0"/>
              <w:adjustRightInd w:val="0"/>
              <w:spacing w:after="120"/>
              <w:rPr>
                <w:szCs w:val="22"/>
              </w:rPr>
            </w:pPr>
            <w:r w:rsidRPr="00CD7ED1">
              <w:rPr>
                <w:szCs w:val="22"/>
              </w:rPr>
              <w:t>Darunavir</w:t>
            </w:r>
            <w:r>
              <w:rPr>
                <w:szCs w:val="22"/>
              </w:rPr>
              <w:t>/cobicistat/TAF/FTC (Symtuza</w:t>
            </w:r>
            <w:r w:rsidRPr="00CD7ED1">
              <w:rPr>
                <w:szCs w:val="22"/>
              </w:rPr>
              <w:t>®)</w:t>
            </w:r>
            <w:r>
              <w:rPr>
                <w:szCs w:val="22"/>
              </w:rPr>
              <w:t xml:space="preserve">. </w:t>
            </w:r>
            <w:r w:rsidRPr="00265677">
              <w:rPr>
                <w:szCs w:val="22"/>
              </w:rPr>
              <w:t>Take with food</w:t>
            </w:r>
          </w:p>
        </w:tc>
        <w:tc>
          <w:tcPr>
            <w:tcW w:w="2469" w:type="dxa"/>
            <w:gridSpan w:val="2"/>
          </w:tcPr>
          <w:p w:rsidR="00347A33" w:rsidRDefault="00347A33" w:rsidP="00286D28">
            <w:pPr>
              <w:autoSpaceDE w:val="0"/>
              <w:autoSpaceDN w:val="0"/>
              <w:adjustRightInd w:val="0"/>
              <w:spacing w:after="120"/>
              <w:rPr>
                <w:szCs w:val="22"/>
              </w:rPr>
            </w:pPr>
            <w:r>
              <w:rPr>
                <w:szCs w:val="22"/>
              </w:rPr>
              <w:t xml:space="preserve">1 tablet once daily </w:t>
            </w:r>
          </w:p>
          <w:p w:rsidR="00347A33" w:rsidRPr="00CD7ED1" w:rsidRDefault="00347A33" w:rsidP="00286D28">
            <w:pPr>
              <w:autoSpaceDE w:val="0"/>
              <w:autoSpaceDN w:val="0"/>
              <w:adjustRightInd w:val="0"/>
              <w:spacing w:after="120"/>
              <w:rPr>
                <w:szCs w:val="22"/>
              </w:rPr>
            </w:pPr>
            <w:r w:rsidRPr="00CD7ED1">
              <w:rPr>
                <w:szCs w:val="22"/>
              </w:rPr>
              <w:t xml:space="preserve">800 mg </w:t>
            </w:r>
            <w:r>
              <w:rPr>
                <w:szCs w:val="22"/>
              </w:rPr>
              <w:t xml:space="preserve">darunavir/150 mg cobicistat/TAF 10 mg/FTC 200 mg </w:t>
            </w:r>
          </w:p>
        </w:tc>
        <w:tc>
          <w:tcPr>
            <w:tcW w:w="7970" w:type="dxa"/>
          </w:tcPr>
          <w:p w:rsidR="00347A33" w:rsidRPr="00CD7ED1" w:rsidRDefault="00347A33" w:rsidP="00286D28">
            <w:pPr>
              <w:autoSpaceDE w:val="0"/>
              <w:autoSpaceDN w:val="0"/>
              <w:adjustRightInd w:val="0"/>
              <w:spacing w:after="120"/>
              <w:rPr>
                <w:szCs w:val="22"/>
              </w:rPr>
            </w:pPr>
            <w:r w:rsidRPr="00CD7ED1">
              <w:rPr>
                <w:szCs w:val="22"/>
              </w:rPr>
              <w:t xml:space="preserve">Diarrhea, nausea, vomiting; asthenia; </w:t>
            </w:r>
            <w:r w:rsidRPr="00CD7ED1">
              <w:rPr>
                <w:szCs w:val="22"/>
              </w:rPr>
              <w:sym w:font="Symbol" w:char="F0AD"/>
            </w:r>
            <w:r w:rsidRPr="00CD7ED1">
              <w:rPr>
                <w:szCs w:val="22"/>
              </w:rPr>
              <w:t xml:space="preserve"> transaminases; hyperglycemia; fat redistribution; lipid abnormalities; possible increased bleeding in persons with hemophilia; and pancreatitis</w:t>
            </w:r>
          </w:p>
        </w:tc>
      </w:tr>
      <w:tr w:rsidR="00347A33" w:rsidRPr="00CD7ED1" w:rsidTr="00286D28">
        <w:tc>
          <w:tcPr>
            <w:tcW w:w="13276" w:type="dxa"/>
            <w:gridSpan w:val="5"/>
          </w:tcPr>
          <w:p w:rsidR="00347A33" w:rsidRPr="00CD7ED1" w:rsidRDefault="00347A33" w:rsidP="00286D28">
            <w:pPr>
              <w:autoSpaceDE w:val="0"/>
              <w:autoSpaceDN w:val="0"/>
              <w:adjustRightInd w:val="0"/>
              <w:spacing w:after="120"/>
              <w:rPr>
                <w:szCs w:val="22"/>
              </w:rPr>
            </w:pPr>
            <w:r w:rsidRPr="00CD7ED1">
              <w:rPr>
                <w:i/>
                <w:szCs w:val="22"/>
              </w:rPr>
              <w:t>NNRTI (non-nucleoside reverse transcriptase inhibitor</w:t>
            </w:r>
          </w:p>
        </w:tc>
      </w:tr>
      <w:tr w:rsidR="00347A33" w:rsidRPr="00CD7ED1" w:rsidTr="00286D28">
        <w:tc>
          <w:tcPr>
            <w:tcW w:w="2837" w:type="dxa"/>
            <w:gridSpan w:val="2"/>
          </w:tcPr>
          <w:p w:rsidR="00347A33" w:rsidRDefault="00347A33" w:rsidP="00286D28">
            <w:pPr>
              <w:autoSpaceDE w:val="0"/>
              <w:autoSpaceDN w:val="0"/>
              <w:adjustRightInd w:val="0"/>
              <w:spacing w:after="120"/>
              <w:rPr>
                <w:szCs w:val="22"/>
              </w:rPr>
            </w:pPr>
            <w:r w:rsidRPr="00CD7ED1">
              <w:rPr>
                <w:szCs w:val="22"/>
              </w:rPr>
              <w:t xml:space="preserve">Rilpivirine plus tenofovir </w:t>
            </w:r>
            <w:r>
              <w:rPr>
                <w:szCs w:val="22"/>
              </w:rPr>
              <w:t>AF&amp; emtricitabine (Odefsey</w:t>
            </w:r>
            <w:r w:rsidRPr="00CD7ED1">
              <w:rPr>
                <w:szCs w:val="22"/>
              </w:rPr>
              <w:t>™)</w:t>
            </w:r>
          </w:p>
          <w:p w:rsidR="00347A33" w:rsidRPr="00CD7ED1" w:rsidRDefault="00347A33" w:rsidP="00286D28">
            <w:pPr>
              <w:autoSpaceDE w:val="0"/>
              <w:autoSpaceDN w:val="0"/>
              <w:adjustRightInd w:val="0"/>
              <w:spacing w:after="120"/>
              <w:rPr>
                <w:i/>
                <w:szCs w:val="22"/>
              </w:rPr>
            </w:pPr>
            <w:r w:rsidRPr="00265677">
              <w:rPr>
                <w:szCs w:val="22"/>
              </w:rPr>
              <w:t>Take with food</w:t>
            </w:r>
          </w:p>
        </w:tc>
        <w:tc>
          <w:tcPr>
            <w:tcW w:w="2469" w:type="dxa"/>
            <w:gridSpan w:val="2"/>
          </w:tcPr>
          <w:p w:rsidR="00347A33" w:rsidRDefault="00347A33" w:rsidP="00286D28">
            <w:pPr>
              <w:autoSpaceDE w:val="0"/>
              <w:autoSpaceDN w:val="0"/>
              <w:adjustRightInd w:val="0"/>
              <w:spacing w:after="120"/>
              <w:rPr>
                <w:szCs w:val="22"/>
              </w:rPr>
            </w:pPr>
            <w:r w:rsidRPr="00CD7ED1">
              <w:rPr>
                <w:szCs w:val="22"/>
              </w:rPr>
              <w:t>1 tablet daily</w:t>
            </w:r>
          </w:p>
          <w:p w:rsidR="00347A33" w:rsidRPr="00CD7ED1" w:rsidRDefault="00347A33" w:rsidP="00286D28">
            <w:pPr>
              <w:autoSpaceDE w:val="0"/>
              <w:autoSpaceDN w:val="0"/>
              <w:adjustRightInd w:val="0"/>
              <w:spacing w:after="120"/>
              <w:rPr>
                <w:szCs w:val="22"/>
              </w:rPr>
            </w:pPr>
            <w:r>
              <w:rPr>
                <w:szCs w:val="22"/>
              </w:rPr>
              <w:t>Do not use Odefsey™ if CrCl &lt; 30</w:t>
            </w:r>
          </w:p>
        </w:tc>
        <w:tc>
          <w:tcPr>
            <w:tcW w:w="7970" w:type="dxa"/>
          </w:tcPr>
          <w:p w:rsidR="00347A33" w:rsidRPr="00CD7ED1" w:rsidRDefault="00347A33" w:rsidP="00286D28">
            <w:pPr>
              <w:rPr>
                <w:szCs w:val="22"/>
              </w:rPr>
            </w:pPr>
            <w:r w:rsidRPr="00CD7ED1">
              <w:rPr>
                <w:szCs w:val="22"/>
              </w:rPr>
              <w:t>Well tolerated</w:t>
            </w:r>
          </w:p>
          <w:p w:rsidR="00347A33" w:rsidRPr="00CD7ED1" w:rsidRDefault="00347A33" w:rsidP="00286D28">
            <w:pPr>
              <w:autoSpaceDE w:val="0"/>
              <w:autoSpaceDN w:val="0"/>
              <w:adjustRightInd w:val="0"/>
              <w:rPr>
                <w:szCs w:val="22"/>
              </w:rPr>
            </w:pPr>
            <w:r w:rsidRPr="00CD7ED1">
              <w:rPr>
                <w:szCs w:val="22"/>
              </w:rPr>
              <w:t>Caution when coadministered with H2 antagonists and antacids; coadministration with proton pump inhibitors is contraindicated</w:t>
            </w:r>
          </w:p>
        </w:tc>
      </w:tr>
    </w:tbl>
    <w:p w:rsidR="00EE3BD9" w:rsidRPr="00CD7ED1" w:rsidRDefault="00EE3BD9" w:rsidP="00EE3BD9">
      <w:pPr>
        <w:pStyle w:val="Heading3"/>
        <w:spacing w:after="120"/>
      </w:pPr>
      <w:r w:rsidRPr="00CD7ED1">
        <w:rPr>
          <w:vertAlign w:val="superscript"/>
        </w:rPr>
        <w:t>#</w:t>
      </w:r>
      <w:r w:rsidRPr="00CD7ED1">
        <w:tab/>
        <w:t xml:space="preserve">Combination products should be used </w:t>
      </w:r>
      <w:r>
        <w:t>whenever possible</w:t>
      </w:r>
      <w:r w:rsidRPr="00CD7ED1">
        <w:t>.</w:t>
      </w:r>
    </w:p>
    <w:p w:rsidR="00EE3BD9" w:rsidRPr="000D46C8" w:rsidRDefault="00EE3BD9" w:rsidP="0030340B">
      <w:pPr>
        <w:pStyle w:val="Heading4"/>
      </w:pPr>
    </w:p>
    <w:p w:rsidR="001E1FEB" w:rsidRPr="0030340B" w:rsidRDefault="001E1FEB" w:rsidP="0030340B">
      <w:pPr>
        <w:pStyle w:val="Heading3"/>
        <w:rPr>
          <w:b/>
        </w:rPr>
      </w:pPr>
      <w:r w:rsidRPr="0030340B">
        <w:rPr>
          <w:b/>
        </w:rPr>
        <w:t xml:space="preserve">Baseline laboratory evaluation:  </w:t>
      </w:r>
    </w:p>
    <w:p w:rsidR="001E1FEB" w:rsidRDefault="001E1FEB" w:rsidP="0030340B">
      <w:pPr>
        <w:pStyle w:val="ListBullet3"/>
      </w:pPr>
      <w:r w:rsidRPr="000D46C8">
        <w:t>Complete blood count, kidney panel and liver panel.</w:t>
      </w:r>
    </w:p>
    <w:p w:rsidR="005643E5" w:rsidRPr="005643E5" w:rsidRDefault="005643E5" w:rsidP="0030340B">
      <w:pPr>
        <w:pStyle w:val="ListBullet3"/>
      </w:pPr>
      <w:r w:rsidRPr="005643E5">
        <w:t xml:space="preserve">Test </w:t>
      </w:r>
      <w:r>
        <w:t>for GC/</w:t>
      </w:r>
      <w:r w:rsidRPr="005643E5">
        <w:t>Chlamydia</w:t>
      </w:r>
      <w:r>
        <w:t xml:space="preserve"> (urine and swabs of all exposed </w:t>
      </w:r>
      <w:r w:rsidR="00C86365">
        <w:t>mucosal surfaces</w:t>
      </w:r>
      <w:r>
        <w:t>)</w:t>
      </w:r>
      <w:r w:rsidRPr="005643E5">
        <w:t xml:space="preserve">, syphilis, Hepatitis B </w:t>
      </w:r>
      <w:r>
        <w:t>(surface antigen, surface antibody and core antibody), Hepatitis C</w:t>
      </w:r>
      <w:r w:rsidRPr="005643E5">
        <w:t xml:space="preserve"> and HIV</w:t>
      </w:r>
      <w:r>
        <w:t xml:space="preserve"> (standard antibody/antigen test plus, for persons with repeated recent </w:t>
      </w:r>
      <w:r w:rsidR="00347A33">
        <w:t>high-risk</w:t>
      </w:r>
      <w:r>
        <w:t xml:space="preserve"> exposure, HIV viral load)</w:t>
      </w:r>
      <w:r w:rsidR="0090121D">
        <w:t xml:space="preserve"> – </w:t>
      </w:r>
      <w:r w:rsidR="0090121D">
        <w:rPr>
          <w:i/>
          <w:u w:val="single"/>
        </w:rPr>
        <w:t xml:space="preserve">this testing should be done regardless of whether </w:t>
      </w:r>
      <w:proofErr w:type="spellStart"/>
      <w:r w:rsidR="0090121D">
        <w:rPr>
          <w:i/>
          <w:u w:val="single"/>
        </w:rPr>
        <w:t>nPEP</w:t>
      </w:r>
      <w:proofErr w:type="spellEnd"/>
      <w:r w:rsidR="0090121D">
        <w:rPr>
          <w:i/>
          <w:u w:val="single"/>
        </w:rPr>
        <w:t xml:space="preserve"> is given.</w:t>
      </w:r>
    </w:p>
    <w:p w:rsidR="001E1FEB" w:rsidRDefault="001E1FEB" w:rsidP="0030340B">
      <w:pPr>
        <w:pStyle w:val="ListBullet3"/>
      </w:pPr>
      <w:r w:rsidRPr="000D46C8">
        <w:t xml:space="preserve">Pregnancy testing should be done in all women of child-bearing potential. </w:t>
      </w:r>
    </w:p>
    <w:p w:rsidR="007B36F4" w:rsidRDefault="007B36F4" w:rsidP="00221438">
      <w:pPr>
        <w:pStyle w:val="Heading1"/>
        <w:jc w:val="center"/>
        <w:rPr>
          <w:rStyle w:val="bold"/>
          <w:rFonts w:asciiTheme="minorHAnsi" w:hAnsiTheme="minorHAnsi"/>
          <w:sz w:val="22"/>
          <w:szCs w:val="22"/>
        </w:rPr>
      </w:pPr>
    </w:p>
    <w:p w:rsidR="0090121D" w:rsidRPr="0090121D" w:rsidRDefault="0090121D" w:rsidP="0090121D">
      <w:pPr>
        <w:pStyle w:val="Heading3"/>
        <w:rPr>
          <w:rStyle w:val="bold"/>
          <w:rFonts w:asciiTheme="minorHAnsi" w:hAnsiTheme="minorHAnsi"/>
          <w:sz w:val="22"/>
        </w:rPr>
      </w:pPr>
      <w:r w:rsidRPr="0090121D">
        <w:rPr>
          <w:rStyle w:val="bold"/>
          <w:rFonts w:asciiTheme="minorHAnsi" w:hAnsiTheme="minorHAnsi"/>
          <w:sz w:val="22"/>
        </w:rPr>
        <w:t>Follow-up</w:t>
      </w:r>
    </w:p>
    <w:p w:rsidR="007B36F4" w:rsidRPr="0090121D" w:rsidRDefault="007B36F4" w:rsidP="00A8396B">
      <w:pPr>
        <w:pStyle w:val="Heading1"/>
        <w:rPr>
          <w:rStyle w:val="bold"/>
          <w:rFonts w:asciiTheme="minorHAnsi" w:hAnsiTheme="minorHAnsi"/>
          <w:sz w:val="22"/>
          <w:szCs w:val="22"/>
        </w:rPr>
        <w:sectPr w:rsidR="007B36F4" w:rsidRPr="0090121D" w:rsidSect="00EF3C7F">
          <w:footerReference w:type="even" r:id="rId9"/>
          <w:footerReference w:type="default" r:id="rId10"/>
          <w:footerReference w:type="first" r:id="rId11"/>
          <w:type w:val="continuous"/>
          <w:pgSz w:w="12240" w:h="15840"/>
          <w:pgMar w:top="720" w:right="720" w:bottom="720" w:left="720" w:header="720" w:footer="720" w:gutter="0"/>
          <w:pgNumType w:start="1"/>
          <w:cols w:space="720"/>
          <w:docGrid w:linePitch="299"/>
        </w:sectPr>
      </w:pPr>
    </w:p>
    <w:p w:rsidR="005461EF" w:rsidRDefault="005461EF" w:rsidP="0090121D">
      <w:pPr>
        <w:pStyle w:val="ListBullet3"/>
      </w:pPr>
      <w:r w:rsidRPr="000D46C8">
        <w:t xml:space="preserve">Give patient </w:t>
      </w:r>
      <w:r w:rsidR="005F73CD">
        <w:t>a</w:t>
      </w:r>
      <w:r w:rsidRPr="000D46C8">
        <w:t xml:space="preserve"> prescription for </w:t>
      </w:r>
      <w:r w:rsidR="00702ECE">
        <w:t>30</w:t>
      </w:r>
      <w:r w:rsidR="005F73CD" w:rsidRPr="000D46C8">
        <w:t xml:space="preserve"> </w:t>
      </w:r>
      <w:r w:rsidRPr="000D46C8">
        <w:t>days of therapy</w:t>
      </w:r>
      <w:r w:rsidR="0090121D">
        <w:t>; NO refills</w:t>
      </w:r>
    </w:p>
    <w:p w:rsidR="0024475B" w:rsidRPr="003532E2" w:rsidRDefault="0024475B" w:rsidP="0024475B">
      <w:pPr>
        <w:pStyle w:val="ListBullet3"/>
      </w:pPr>
      <w:r>
        <w:t>Consult</w:t>
      </w:r>
      <w:r w:rsidRPr="003532E2">
        <w:t xml:space="preserve"> Infectious Diseases service </w:t>
      </w:r>
      <w:r>
        <w:t xml:space="preserve">to </w:t>
      </w:r>
      <w:r w:rsidRPr="003532E2">
        <w:t>evaluate all persons receiving postexposure HIV prophylaxis regimens within 7 days of their start, either in clinic or</w:t>
      </w:r>
      <w:r>
        <w:t xml:space="preserve"> (preferably)</w:t>
      </w:r>
      <w:r w:rsidRPr="003532E2">
        <w:t xml:space="preserve"> via e-consult.  </w:t>
      </w:r>
    </w:p>
    <w:p w:rsidR="0090121D" w:rsidRPr="000D46C8" w:rsidRDefault="0090121D" w:rsidP="00347A33">
      <w:pPr>
        <w:pStyle w:val="ListBullet4"/>
      </w:pPr>
      <w:r w:rsidRPr="000D46C8">
        <w:t>Patients living at remote sites (e.g., San Luis Obispo,</w:t>
      </w:r>
      <w:bookmarkStart w:id="7" w:name="_GoBack"/>
      <w:bookmarkEnd w:id="7"/>
      <w:r w:rsidRPr="000D46C8">
        <w:t xml:space="preserve"> Santa Barbara, Bakersfield) may be followed by their primary provider in consultation with infectious Diseases</w:t>
      </w:r>
    </w:p>
    <w:p w:rsidR="0090121D" w:rsidRPr="000D46C8" w:rsidRDefault="0090121D" w:rsidP="0090121D">
      <w:pPr>
        <w:pStyle w:val="ListBullet3"/>
      </w:pPr>
      <w:r w:rsidRPr="000D46C8">
        <w:lastRenderedPageBreak/>
        <w:t xml:space="preserve">Laboratory </w:t>
      </w:r>
      <w:r>
        <w:t>studies</w:t>
      </w:r>
      <w:r w:rsidRPr="000D46C8">
        <w:t xml:space="preserve">  </w:t>
      </w:r>
    </w:p>
    <w:p w:rsidR="0090121D" w:rsidRPr="000D46C8" w:rsidRDefault="0090121D" w:rsidP="0090121D">
      <w:pPr>
        <w:pStyle w:val="ListBullet4"/>
      </w:pPr>
      <w:r w:rsidRPr="000D46C8">
        <w:t>Complete blood count, kidney panel and liver panel (2</w:t>
      </w:r>
      <w:r>
        <w:t>-4</w:t>
      </w:r>
      <w:r w:rsidRPr="000D46C8">
        <w:t xml:space="preserve"> weeks after starting </w:t>
      </w:r>
      <w:proofErr w:type="spellStart"/>
      <w:r>
        <w:t>n</w:t>
      </w:r>
      <w:r w:rsidRPr="000D46C8">
        <w:t>PEP</w:t>
      </w:r>
      <w:proofErr w:type="spellEnd"/>
      <w:r w:rsidRPr="000D46C8">
        <w:t xml:space="preserve">).  </w:t>
      </w:r>
    </w:p>
    <w:p w:rsidR="0090121D" w:rsidRDefault="0090121D" w:rsidP="0090121D">
      <w:pPr>
        <w:pStyle w:val="ListBullet4"/>
      </w:pPr>
      <w:r w:rsidRPr="000D46C8">
        <w:t>Follow-up HIV testing at 1, 3 and 6 months</w:t>
      </w:r>
      <w:r>
        <w:t>.  Depending on source and patient status, follow-up testing should be done at the same intervals for HBV and HCV.</w:t>
      </w:r>
    </w:p>
    <w:p w:rsidR="0090121D" w:rsidRPr="000D46C8" w:rsidRDefault="0090121D" w:rsidP="004C6384">
      <w:pPr>
        <w:pStyle w:val="Heading3"/>
      </w:pPr>
    </w:p>
    <w:p w:rsidR="0090121D" w:rsidRDefault="005643E5" w:rsidP="00C86365">
      <w:pPr>
        <w:pStyle w:val="Heading3"/>
      </w:pPr>
      <w:r>
        <w:rPr>
          <w:b/>
        </w:rPr>
        <w:t>Counselling</w:t>
      </w:r>
      <w:r>
        <w:t xml:space="preserve">:  </w:t>
      </w:r>
      <w:r w:rsidR="00F837BB" w:rsidRPr="000D46C8">
        <w:t xml:space="preserve"> Exposed patients should be </w:t>
      </w:r>
      <w:r w:rsidR="0090121D">
        <w:t>advised:</w:t>
      </w:r>
    </w:p>
    <w:p w:rsidR="0090121D" w:rsidRDefault="0090121D" w:rsidP="00C86365">
      <w:pPr>
        <w:pStyle w:val="ListBullet3"/>
      </w:pPr>
      <w:r>
        <w:t>To use precautions (e.g., use of barrier contraception and avoidance of blood or tissue donations, pregnancy, and, if possible, breast-feeding) to prevent secondary transmission, especially during the first 6–12 weeks after exposure.</w:t>
      </w:r>
    </w:p>
    <w:p w:rsidR="00F837BB" w:rsidRDefault="0090121D" w:rsidP="00C86365">
      <w:pPr>
        <w:pStyle w:val="ListBullet3"/>
      </w:pPr>
      <w:r w:rsidRPr="000D46C8">
        <w:t xml:space="preserve">That </w:t>
      </w:r>
      <w:r>
        <w:t>t</w:t>
      </w:r>
      <w:r w:rsidR="00F837BB" w:rsidRPr="0090121D">
        <w:t xml:space="preserve">he </w:t>
      </w:r>
      <w:r w:rsidR="00DB61AD">
        <w:t>GLA Infectious Diseases Clinic</w:t>
      </w:r>
      <w:r w:rsidR="00F837BB" w:rsidRPr="0090121D">
        <w:t xml:space="preserve"> provides Pre-Exposure Prophylaxis (PrEP) to prevent HIV infection in high-risk persons </w:t>
      </w:r>
      <w:r w:rsidR="00C86365">
        <w:t>including</w:t>
      </w:r>
    </w:p>
    <w:p w:rsidR="00C86365" w:rsidRDefault="00C86365" w:rsidP="00C86365">
      <w:pPr>
        <w:pStyle w:val="ListBullet4"/>
      </w:pPr>
      <w:r>
        <w:t>Men or women who satisfy any of the following criteria:</w:t>
      </w:r>
    </w:p>
    <w:p w:rsidR="00C86365" w:rsidRDefault="00C86365" w:rsidP="00C86365">
      <w:pPr>
        <w:pStyle w:val="ListBullet5"/>
      </w:pPr>
      <w:r>
        <w:t>History of inconsistent or no condom use</w:t>
      </w:r>
    </w:p>
    <w:p w:rsidR="00C86365" w:rsidRDefault="00C86365" w:rsidP="00C86365">
      <w:pPr>
        <w:pStyle w:val="ListBullet5"/>
      </w:pPr>
      <w:r>
        <w:t xml:space="preserve">High number of sex partners in the past 6 months </w:t>
      </w:r>
    </w:p>
    <w:p w:rsidR="00C86365" w:rsidRDefault="00C86365" w:rsidP="00C86365">
      <w:pPr>
        <w:pStyle w:val="ListBullet5"/>
      </w:pPr>
      <w:r>
        <w:t>Any sexually transmitted infection (STI) diagnosed or reported in past 6 months</w:t>
      </w:r>
    </w:p>
    <w:p w:rsidR="00C86365" w:rsidRDefault="00C86365" w:rsidP="00C86365">
      <w:pPr>
        <w:pStyle w:val="ListBullet5"/>
      </w:pPr>
      <w:r>
        <w:t>Being in an ongoing sexual relationship with an HIV-positive partner</w:t>
      </w:r>
    </w:p>
    <w:p w:rsidR="00C86365" w:rsidRDefault="00C86365" w:rsidP="00C86365">
      <w:pPr>
        <w:pStyle w:val="ListBullet5"/>
      </w:pPr>
      <w:r>
        <w:t>Commercial sex work</w:t>
      </w:r>
    </w:p>
    <w:p w:rsidR="00C86365" w:rsidRDefault="00C86365" w:rsidP="00C86365">
      <w:pPr>
        <w:pStyle w:val="ListBullet4"/>
      </w:pPr>
      <w:r>
        <w:t>Injection drug users who satisfy any of the following criteria:</w:t>
      </w:r>
    </w:p>
    <w:p w:rsidR="00C86365" w:rsidRDefault="00C86365" w:rsidP="00C86365">
      <w:pPr>
        <w:pStyle w:val="ListBullet5"/>
      </w:pPr>
      <w:r>
        <w:t xml:space="preserve">Any sharing in past 6 months of equipment or supplies used to prepare or inject drugs  </w:t>
      </w:r>
    </w:p>
    <w:p w:rsidR="00C86365" w:rsidRDefault="00C86365" w:rsidP="00C86365">
      <w:pPr>
        <w:pStyle w:val="ListBullet5"/>
      </w:pPr>
      <w:r>
        <w:t>Been in a methadone, buprenorphine, or suboxone treatment program in past 6 months</w:t>
      </w:r>
    </w:p>
    <w:p w:rsidR="00C86365" w:rsidRDefault="00C86365" w:rsidP="00C86365">
      <w:pPr>
        <w:pStyle w:val="ListBullet5"/>
      </w:pPr>
      <w:r>
        <w:t>Risk of sexual acquisition (as above)</w:t>
      </w:r>
    </w:p>
    <w:p w:rsidR="0024475B" w:rsidRPr="000D46C8" w:rsidRDefault="0024475B" w:rsidP="0024475B">
      <w:pPr>
        <w:pStyle w:val="ListBullet3"/>
        <w:rPr>
          <w:rFonts w:cs="AGaramond-Regular"/>
        </w:rPr>
      </w:pPr>
      <w:r w:rsidRPr="003A24BC">
        <w:rPr>
          <w:rStyle w:val="Heading2Char2"/>
          <w:i/>
          <w:szCs w:val="22"/>
          <w:u w:val="single"/>
        </w:rPr>
        <w:t xml:space="preserve">Persons who engage in behaviors that result in frequent, recurrent exposures should be offered PrEP after completing a course of </w:t>
      </w:r>
      <w:proofErr w:type="spellStart"/>
      <w:r w:rsidRPr="003A24BC">
        <w:rPr>
          <w:rStyle w:val="Heading2Char2"/>
          <w:i/>
          <w:szCs w:val="22"/>
          <w:u w:val="single"/>
        </w:rPr>
        <w:t>nPEP</w:t>
      </w:r>
      <w:proofErr w:type="spellEnd"/>
      <w:r w:rsidRPr="003A24BC">
        <w:rPr>
          <w:rStyle w:val="Heading2Char2"/>
          <w:i/>
          <w:szCs w:val="22"/>
          <w:u w:val="single"/>
        </w:rPr>
        <w:t xml:space="preserve"> through the PEP to PrEP consult mechanism</w:t>
      </w:r>
      <w:r>
        <w:rPr>
          <w:rStyle w:val="Heading2Char2"/>
          <w:szCs w:val="22"/>
        </w:rPr>
        <w:t>.</w:t>
      </w:r>
    </w:p>
    <w:p w:rsidR="000104CD" w:rsidRPr="000D46C8" w:rsidRDefault="000104CD" w:rsidP="003B0718">
      <w:pPr>
        <w:pStyle w:val="Heading3"/>
      </w:pPr>
    </w:p>
    <w:p w:rsidR="00183F54" w:rsidRPr="000D46C8" w:rsidRDefault="00221438">
      <w:pPr>
        <w:pStyle w:val="Heading2"/>
        <w:rPr>
          <w:b/>
          <w:szCs w:val="22"/>
        </w:rPr>
      </w:pPr>
      <w:r w:rsidRPr="000D46C8">
        <w:rPr>
          <w:b/>
          <w:szCs w:val="22"/>
        </w:rPr>
        <w:t>VI.</w:t>
      </w:r>
      <w:r w:rsidRPr="000D46C8">
        <w:rPr>
          <w:b/>
          <w:szCs w:val="22"/>
        </w:rPr>
        <w:tab/>
      </w:r>
      <w:r w:rsidR="00183F54" w:rsidRPr="000D46C8">
        <w:rPr>
          <w:b/>
          <w:szCs w:val="22"/>
        </w:rPr>
        <w:t>References</w:t>
      </w:r>
    </w:p>
    <w:p w:rsidR="00183F54" w:rsidRPr="000D46C8" w:rsidRDefault="00183F54">
      <w:pPr>
        <w:pStyle w:val="Heading2"/>
        <w:rPr>
          <w:szCs w:val="22"/>
        </w:rPr>
      </w:pPr>
    </w:p>
    <w:p w:rsidR="00183F54" w:rsidRPr="000D46C8" w:rsidRDefault="00183F54" w:rsidP="008A555D">
      <w:pPr>
        <w:pStyle w:val="List"/>
        <w:numPr>
          <w:ilvl w:val="0"/>
          <w:numId w:val="8"/>
        </w:numPr>
      </w:pPr>
      <w:r w:rsidRPr="000D46C8">
        <w:t xml:space="preserve">CDC.  Antiretroviral Postexposure Prophylaxis After Sexual, Injection-Drug Use, or Other Nonoccupational Exposure to HIV in the United </w:t>
      </w:r>
      <w:proofErr w:type="gramStart"/>
      <w:r w:rsidRPr="000D46C8">
        <w:t xml:space="preserve">States  </w:t>
      </w:r>
      <w:r w:rsidR="00E93A01" w:rsidRPr="000D46C8">
        <w:t>MMWR</w:t>
      </w:r>
      <w:proofErr w:type="gramEnd"/>
      <w:r w:rsidR="00E93A01" w:rsidRPr="000D46C8">
        <w:t xml:space="preserve"> Recommendations and Reports.  </w:t>
      </w:r>
      <w:r w:rsidR="0063015A" w:rsidRPr="000D46C8">
        <w:t>2005</w:t>
      </w:r>
      <w:r w:rsidR="00E93A01" w:rsidRPr="000D46C8">
        <w:t>;54 (RR2):1-19.</w:t>
      </w:r>
    </w:p>
    <w:p w:rsidR="00183F54" w:rsidRPr="000D46C8" w:rsidRDefault="00183F54" w:rsidP="008A555D">
      <w:pPr>
        <w:pStyle w:val="List"/>
        <w:numPr>
          <w:ilvl w:val="0"/>
          <w:numId w:val="8"/>
        </w:numPr>
      </w:pPr>
      <w:r w:rsidRPr="000D46C8">
        <w:t xml:space="preserve">UCSF Prophylaxis Following Nonoccupational Exposure to HIV.  HIV InSite Knowledge Base Chapter. </w:t>
      </w:r>
      <w:hyperlink r:id="rId12" w:history="1">
        <w:r w:rsidRPr="000D46C8">
          <w:rPr>
            <w:rStyle w:val="Hyperlink"/>
            <w:bCs/>
          </w:rPr>
          <w:t>http://hivinsite.ucsf.edu/InSite?page=kb-authors&amp;doc=kb-07-02-07</w:t>
        </w:r>
      </w:hyperlink>
      <w:r w:rsidRPr="000D46C8">
        <w:t>.</w:t>
      </w:r>
    </w:p>
    <w:p w:rsidR="00183F54" w:rsidRPr="000D46C8" w:rsidRDefault="00183F54" w:rsidP="008A555D">
      <w:pPr>
        <w:pStyle w:val="List"/>
        <w:numPr>
          <w:ilvl w:val="0"/>
          <w:numId w:val="8"/>
        </w:numPr>
      </w:pPr>
      <w:r w:rsidRPr="000D46C8">
        <w:t xml:space="preserve">CDC.  Updated US Public Health Service Guidelines for the management of occupational exposures to HBV, HCV, and HIV and recommendations for postexposure prophylaxis.  MMWR.  2001; </w:t>
      </w:r>
      <w:proofErr w:type="gramStart"/>
      <w:r w:rsidRPr="000D46C8">
        <w:t>50:RR</w:t>
      </w:r>
      <w:proofErr w:type="gramEnd"/>
      <w:r w:rsidRPr="000D46C8">
        <w:t xml:space="preserve">1-11:1-52.  </w:t>
      </w:r>
    </w:p>
    <w:p w:rsidR="00183F54" w:rsidRPr="000D46C8" w:rsidRDefault="00183F54" w:rsidP="008A555D">
      <w:pPr>
        <w:pStyle w:val="List"/>
        <w:numPr>
          <w:ilvl w:val="0"/>
          <w:numId w:val="8"/>
        </w:numPr>
      </w:pPr>
      <w:r w:rsidRPr="000D46C8">
        <w:t xml:space="preserve">CDC. Case-control study of HIV seroconversion in health-care workers after percutaneous exposure to HIV-infected blood—France, United Kingdom, and United States, January 1988–August 1994. MMWR </w:t>
      </w:r>
      <w:proofErr w:type="gramStart"/>
      <w:r w:rsidRPr="000D46C8">
        <w:t>1995;44:929</w:t>
      </w:r>
      <w:proofErr w:type="gramEnd"/>
      <w:r w:rsidRPr="000D46C8">
        <w:t xml:space="preserve">–33. </w:t>
      </w:r>
    </w:p>
    <w:p w:rsidR="00D720B6" w:rsidRPr="000D46C8" w:rsidRDefault="00D720B6" w:rsidP="008A555D">
      <w:pPr>
        <w:pStyle w:val="List"/>
        <w:numPr>
          <w:ilvl w:val="0"/>
          <w:numId w:val="8"/>
        </w:numPr>
      </w:pPr>
      <w:r w:rsidRPr="000D46C8">
        <w:t xml:space="preserve">Henderson DK, </w:t>
      </w:r>
      <w:proofErr w:type="spellStart"/>
      <w:r w:rsidRPr="000D46C8">
        <w:t>Dembry</w:t>
      </w:r>
      <w:proofErr w:type="spellEnd"/>
      <w:r w:rsidRPr="000D46C8">
        <w:t xml:space="preserve"> L, Fishman NO, et al.  SHEA Guideline for Management of Healthcare Workers Who Are Infected with Hepatitis B Virus, Hepatitis C Virus, and/or Human Immunodeficiency Virus.  Infect Control Hosp Epidemiol.  2010; 31:203-232.</w:t>
      </w:r>
    </w:p>
    <w:p w:rsidR="005529B5" w:rsidRPr="000D46C8" w:rsidRDefault="005529B5" w:rsidP="008A555D">
      <w:pPr>
        <w:pStyle w:val="List"/>
        <w:numPr>
          <w:ilvl w:val="0"/>
          <w:numId w:val="8"/>
        </w:numPr>
      </w:pPr>
      <w:r w:rsidRPr="000D46C8">
        <w:rPr>
          <w:bCs/>
        </w:rPr>
        <w:t xml:space="preserve">HIV prophylaxis following occupational exposure. </w:t>
      </w:r>
      <w:r w:rsidRPr="000D46C8">
        <w:rPr>
          <w:iCs/>
        </w:rPr>
        <w:t xml:space="preserve">New York State Department of Health AIDS Institute.  </w:t>
      </w:r>
      <w:hyperlink r:id="rId13" w:history="1">
        <w:r w:rsidRPr="000D46C8">
          <w:rPr>
            <w:rStyle w:val="Hyperlink"/>
            <w:iCs/>
          </w:rPr>
          <w:t>http://www.hivguidelines.org/clinical-guidelines/post-exposure-prophylaxis/hiv-prophylaxis-following-occupational-exposure/</w:t>
        </w:r>
      </w:hyperlink>
      <w:r w:rsidR="005D4569">
        <w:rPr>
          <w:rStyle w:val="Hyperlink"/>
          <w:iCs/>
        </w:rPr>
        <w:t>;</w:t>
      </w:r>
      <w:r w:rsidRPr="000D46C8">
        <w:rPr>
          <w:iCs/>
        </w:rPr>
        <w:t xml:space="preserve">  </w:t>
      </w:r>
      <w:r w:rsidR="005D4569">
        <w:rPr>
          <w:iCs/>
        </w:rPr>
        <w:t xml:space="preserve">updated October 2014, </w:t>
      </w:r>
      <w:r w:rsidR="005D4569" w:rsidRPr="00CD7ED1">
        <w:rPr>
          <w:iCs/>
        </w:rPr>
        <w:t xml:space="preserve">accessed </w:t>
      </w:r>
      <w:r w:rsidR="005D4569">
        <w:rPr>
          <w:iCs/>
        </w:rPr>
        <w:t>July 3, 2015</w:t>
      </w:r>
      <w:r w:rsidRPr="000D46C8">
        <w:rPr>
          <w:iCs/>
        </w:rPr>
        <w:t>.</w:t>
      </w:r>
    </w:p>
    <w:p w:rsidR="009E2D34" w:rsidRPr="000D46C8" w:rsidRDefault="009E2D34" w:rsidP="008A555D">
      <w:pPr>
        <w:pStyle w:val="List"/>
        <w:numPr>
          <w:ilvl w:val="0"/>
          <w:numId w:val="8"/>
        </w:numPr>
      </w:pPr>
      <w:proofErr w:type="spellStart"/>
      <w:r w:rsidRPr="000D46C8">
        <w:rPr>
          <w:iCs/>
        </w:rPr>
        <w:t>Kuhar</w:t>
      </w:r>
      <w:proofErr w:type="spellEnd"/>
      <w:r w:rsidRPr="000D46C8">
        <w:rPr>
          <w:iCs/>
        </w:rPr>
        <w:t xml:space="preserve"> DT, Henderson DK, Struble KA, et al. Updated US Public Health Service Guidelines for the Management of Occupational Exposures to Human Immunodeficiency Virus and Recommendations for Postexposure Prophylaxis. Infect Control Hosp Epidemiol 2013;34(9):875-892</w:t>
      </w:r>
    </w:p>
    <w:p w:rsidR="00183F54" w:rsidRPr="000D46C8" w:rsidRDefault="00183F54" w:rsidP="00183F54">
      <w:pPr>
        <w:pStyle w:val="Heading2"/>
        <w:rPr>
          <w:szCs w:val="22"/>
        </w:rPr>
      </w:pPr>
    </w:p>
    <w:sectPr w:rsidR="00183F54" w:rsidRPr="000D46C8" w:rsidSect="00EF3C7F">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89A" w:rsidRDefault="005F489A">
      <w:r>
        <w:separator/>
      </w:r>
    </w:p>
  </w:endnote>
  <w:endnote w:type="continuationSeparator" w:id="0">
    <w:p w:rsidR="005F489A" w:rsidRDefault="005F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56" w:rsidRDefault="00F6309B">
    <w:pPr>
      <w:pStyle w:val="Footer"/>
      <w:framePr w:wrap="around" w:vAnchor="text" w:hAnchor="margin" w:xAlign="center" w:y="1"/>
      <w:rPr>
        <w:rStyle w:val="PageNumber"/>
      </w:rPr>
    </w:pPr>
    <w:r>
      <w:rPr>
        <w:rStyle w:val="PageNumber"/>
      </w:rPr>
      <w:fldChar w:fldCharType="begin"/>
    </w:r>
    <w:r w:rsidR="00074956">
      <w:rPr>
        <w:rStyle w:val="PageNumber"/>
      </w:rPr>
      <w:instrText xml:space="preserve">PAGE  </w:instrText>
    </w:r>
    <w:r>
      <w:rPr>
        <w:rStyle w:val="PageNumber"/>
      </w:rPr>
      <w:fldChar w:fldCharType="end"/>
    </w:r>
  </w:p>
  <w:p w:rsidR="00074956" w:rsidRDefault="0007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56" w:rsidRDefault="00F6309B">
    <w:pPr>
      <w:pStyle w:val="Footer"/>
      <w:framePr w:wrap="around" w:vAnchor="text" w:hAnchor="margin" w:xAlign="center" w:y="1"/>
      <w:rPr>
        <w:rStyle w:val="PageNumber"/>
      </w:rPr>
    </w:pPr>
    <w:r>
      <w:rPr>
        <w:rStyle w:val="PageNumber"/>
      </w:rPr>
      <w:fldChar w:fldCharType="begin"/>
    </w:r>
    <w:r w:rsidR="00074956">
      <w:rPr>
        <w:rStyle w:val="PageNumber"/>
      </w:rPr>
      <w:instrText xml:space="preserve">PAGE  </w:instrText>
    </w:r>
    <w:r>
      <w:rPr>
        <w:rStyle w:val="PageNumber"/>
      </w:rPr>
      <w:fldChar w:fldCharType="separate"/>
    </w:r>
    <w:r w:rsidR="00B20306">
      <w:rPr>
        <w:rStyle w:val="PageNumber"/>
        <w:noProof/>
      </w:rPr>
      <w:t>4</w:t>
    </w:r>
    <w:r>
      <w:rPr>
        <w:rStyle w:val="PageNumber"/>
      </w:rPr>
      <w:fldChar w:fldCharType="end"/>
    </w:r>
  </w:p>
  <w:p w:rsidR="00074956" w:rsidRPr="005643E5" w:rsidRDefault="00074956" w:rsidP="00564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56" w:rsidRDefault="0024475B">
    <w:pPr>
      <w:pStyle w:val="Footer"/>
      <w:rPr>
        <w:sz w:val="10"/>
      </w:rPr>
    </w:pPr>
    <w:r>
      <w:fldChar w:fldCharType="begin"/>
    </w:r>
    <w:r>
      <w:instrText xml:space="preserve"> FILENAME \* Lower\p \* MERGEFORMAT </w:instrText>
    </w:r>
    <w:r>
      <w:fldChar w:fldCharType="separate"/>
    </w:r>
    <w:r w:rsidR="00B20306" w:rsidRPr="00B20306">
      <w:rPr>
        <w:i/>
        <w:noProof/>
        <w:sz w:val="10"/>
      </w:rPr>
      <w:t xml:space="preserve">c:\users\mbg\documents\id admin\guidelines\pre- post exposure proph hbv - </w:t>
    </w:r>
    <w:r w:rsidR="00B20306">
      <w:rPr>
        <w:noProof/>
      </w:rPr>
      <w:t>hiv\gla n-pep 2017-05.docx</w:t>
    </w:r>
    <w:r>
      <w:rPr>
        <w:noProof/>
      </w:rPr>
      <w:fldChar w:fldCharType="end"/>
    </w:r>
    <w:r w:rsidR="00074956">
      <w:rPr>
        <w:i/>
        <w:sz w:val="10"/>
      </w:rPr>
      <w:t xml:space="preserve">  </w:t>
    </w:r>
    <w:r w:rsidR="00F6309B">
      <w:rPr>
        <w:i/>
        <w:sz w:val="10"/>
      </w:rPr>
      <w:fldChar w:fldCharType="begin"/>
    </w:r>
    <w:r w:rsidR="00074956">
      <w:rPr>
        <w:i/>
        <w:sz w:val="10"/>
      </w:rPr>
      <w:instrText xml:space="preserve"> PRINTDATE \@ "M/d/yy" \* MERGEFORMAT </w:instrText>
    </w:r>
    <w:r w:rsidR="00F6309B">
      <w:rPr>
        <w:i/>
        <w:sz w:val="10"/>
      </w:rPr>
      <w:fldChar w:fldCharType="separate"/>
    </w:r>
    <w:r w:rsidR="00B20306">
      <w:rPr>
        <w:i/>
        <w:noProof/>
        <w:sz w:val="10"/>
      </w:rPr>
      <w:t>2/21/18</w:t>
    </w:r>
    <w:r w:rsidR="00F6309B">
      <w:rPr>
        <w:i/>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89A" w:rsidRDefault="005F489A">
      <w:r>
        <w:separator/>
      </w:r>
    </w:p>
  </w:footnote>
  <w:footnote w:type="continuationSeparator" w:id="0">
    <w:p w:rsidR="005F489A" w:rsidRDefault="005F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BE835B4"/>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C452FDB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84F05EF2"/>
    <w:lvl w:ilvl="0">
      <w:start w:val="1"/>
      <w:numFmt w:val="bullet"/>
      <w:lvlText w:val=""/>
      <w:lvlJc w:val="left"/>
      <w:pPr>
        <w:tabs>
          <w:tab w:val="num" w:pos="1728"/>
        </w:tabs>
        <w:ind w:left="1728" w:hanging="432"/>
      </w:pPr>
      <w:rPr>
        <w:rFonts w:ascii="Symbol" w:hAnsi="Symbol" w:hint="default"/>
      </w:rPr>
    </w:lvl>
  </w:abstractNum>
  <w:abstractNum w:abstractNumId="3" w15:restartNumberingAfterBreak="0">
    <w:nsid w:val="FFFFFF82"/>
    <w:multiLevelType w:val="singleLevel"/>
    <w:tmpl w:val="1FDEE4FC"/>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F5218F6"/>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9F867DD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9E722698"/>
    <w:lvl w:ilvl="0">
      <w:numFmt w:val="none"/>
      <w:lvlText w:val=""/>
      <w:lvlJc w:val="left"/>
      <w:pPr>
        <w:tabs>
          <w:tab w:val="num" w:pos="864"/>
        </w:tabs>
        <w:ind w:left="864" w:hanging="432"/>
      </w:pPr>
      <w:rPr>
        <w:rFonts w:ascii="Symbol" w:hAnsi="Symbol" w:hint="default"/>
      </w:rPr>
    </w:lvl>
  </w:abstractNum>
  <w:abstractNum w:abstractNumId="7" w15:restartNumberingAfterBreak="0">
    <w:nsid w:val="0146099D"/>
    <w:multiLevelType w:val="singleLevel"/>
    <w:tmpl w:val="1A78C432"/>
    <w:lvl w:ilvl="0">
      <w:start w:val="1"/>
      <w:numFmt w:val="bullet"/>
      <w:pStyle w:val="Listbullet6"/>
      <w:lvlText w:val=""/>
      <w:lvlJc w:val="left"/>
      <w:pPr>
        <w:tabs>
          <w:tab w:val="num" w:pos="2592"/>
        </w:tabs>
        <w:ind w:left="2592" w:hanging="432"/>
      </w:pPr>
      <w:rPr>
        <w:rFonts w:ascii="Symbol" w:hAnsi="Symbol" w:hint="default"/>
      </w:rPr>
    </w:lvl>
  </w:abstractNum>
  <w:abstractNum w:abstractNumId="8" w15:restartNumberingAfterBreak="0">
    <w:nsid w:val="05DD2D6B"/>
    <w:multiLevelType w:val="hybridMultilevel"/>
    <w:tmpl w:val="41F25674"/>
    <w:lvl w:ilvl="0" w:tplc="9D6A721C">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6DE2481"/>
    <w:multiLevelType w:val="hybridMultilevel"/>
    <w:tmpl w:val="21A04400"/>
    <w:lvl w:ilvl="0" w:tplc="E85CB682">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0" w15:restartNumberingAfterBreak="0">
    <w:nsid w:val="07947509"/>
    <w:multiLevelType w:val="hybridMultilevel"/>
    <w:tmpl w:val="35A68C0E"/>
    <w:lvl w:ilvl="0" w:tplc="D81C2AC4">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08566A74"/>
    <w:multiLevelType w:val="multilevel"/>
    <w:tmpl w:val="7D8E4830"/>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8682D3E"/>
    <w:multiLevelType w:val="hybridMultilevel"/>
    <w:tmpl w:val="D472C838"/>
    <w:lvl w:ilvl="0" w:tplc="4094C1F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8E5D97"/>
    <w:multiLevelType w:val="hybridMultilevel"/>
    <w:tmpl w:val="AF3E66FC"/>
    <w:lvl w:ilvl="0" w:tplc="57C23950">
      <w:start w:val="1"/>
      <w:numFmt w:val="bullet"/>
      <w:pStyle w:val="ListBullet1"/>
      <w:lvlText w:val=""/>
      <w:lvlJc w:val="left"/>
      <w:pPr>
        <w:ind w:left="360"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3251475"/>
    <w:multiLevelType w:val="hybridMultilevel"/>
    <w:tmpl w:val="E4402AF4"/>
    <w:lvl w:ilvl="0" w:tplc="C4406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3A5248"/>
    <w:multiLevelType w:val="singleLevel"/>
    <w:tmpl w:val="96E8AEF0"/>
    <w:lvl w:ilvl="0">
      <w:start w:val="1"/>
      <w:numFmt w:val="decimal"/>
      <w:lvlText w:val="%1."/>
      <w:legacy w:legacy="1" w:legacySpace="0" w:legacyIndent="432"/>
      <w:lvlJc w:val="left"/>
      <w:pPr>
        <w:ind w:left="432" w:hanging="432"/>
      </w:pPr>
    </w:lvl>
  </w:abstractNum>
  <w:abstractNum w:abstractNumId="16" w15:restartNumberingAfterBreak="0">
    <w:nsid w:val="1505088B"/>
    <w:multiLevelType w:val="hybridMultilevel"/>
    <w:tmpl w:val="7C38EEF0"/>
    <w:lvl w:ilvl="0" w:tplc="0B66A1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D5D80"/>
    <w:multiLevelType w:val="hybridMultilevel"/>
    <w:tmpl w:val="95DEF43A"/>
    <w:lvl w:ilvl="0" w:tplc="0A9C55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064226"/>
    <w:multiLevelType w:val="hybridMultilevel"/>
    <w:tmpl w:val="C7D24B1C"/>
    <w:lvl w:ilvl="0" w:tplc="C530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26981"/>
    <w:multiLevelType w:val="singleLevel"/>
    <w:tmpl w:val="1C9CEBAA"/>
    <w:lvl w:ilvl="0">
      <w:start w:val="1"/>
      <w:numFmt w:val="decimal"/>
      <w:lvlText w:val="%1."/>
      <w:legacy w:legacy="1" w:legacySpace="0" w:legacyIndent="432"/>
      <w:lvlJc w:val="left"/>
      <w:pPr>
        <w:ind w:left="432" w:hanging="432"/>
      </w:pPr>
    </w:lvl>
  </w:abstractNum>
  <w:abstractNum w:abstractNumId="20" w15:restartNumberingAfterBreak="0">
    <w:nsid w:val="2023152D"/>
    <w:multiLevelType w:val="hybridMultilevel"/>
    <w:tmpl w:val="1C9CEBAA"/>
    <w:lvl w:ilvl="0" w:tplc="031CB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E01CAD"/>
    <w:multiLevelType w:val="hybridMultilevel"/>
    <w:tmpl w:val="9132A15E"/>
    <w:lvl w:ilvl="0" w:tplc="CCAA2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54592"/>
    <w:multiLevelType w:val="hybridMultilevel"/>
    <w:tmpl w:val="FEF6E606"/>
    <w:lvl w:ilvl="0" w:tplc="696238F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B2536"/>
    <w:multiLevelType w:val="hybridMultilevel"/>
    <w:tmpl w:val="351A7AF0"/>
    <w:lvl w:ilvl="0" w:tplc="25546C68">
      <w:start w:val="1"/>
      <w:numFmt w:val="bullet"/>
      <w:pStyle w:val="Listbullet7"/>
      <w:lvlText w:val=""/>
      <w:lvlJc w:val="left"/>
      <w:pPr>
        <w:tabs>
          <w:tab w:val="num" w:pos="2160"/>
        </w:tabs>
        <w:ind w:left="25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495117"/>
    <w:multiLevelType w:val="hybridMultilevel"/>
    <w:tmpl w:val="6A781786"/>
    <w:lvl w:ilvl="0" w:tplc="0AD4B6FC">
      <w:start w:val="1"/>
      <w:numFmt w:val="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D41FE1"/>
    <w:multiLevelType w:val="hybridMultilevel"/>
    <w:tmpl w:val="98CC74B0"/>
    <w:lvl w:ilvl="0" w:tplc="00A61E64">
      <w:start w:val="1"/>
      <w:numFmt w:val="bullet"/>
      <w:pStyle w:val="ListBullet3"/>
      <w:lvlText w:val=""/>
      <w:lvlJc w:val="left"/>
      <w:pPr>
        <w:ind w:left="12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E941A8"/>
    <w:multiLevelType w:val="hybridMultilevel"/>
    <w:tmpl w:val="1CE61A14"/>
    <w:lvl w:ilvl="0" w:tplc="7E364750">
      <w:start w:val="1"/>
      <w:numFmt w:val="bullet"/>
      <w:pStyle w:val="ListBullet4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6D25102"/>
    <w:multiLevelType w:val="hybridMultilevel"/>
    <w:tmpl w:val="BC88207C"/>
    <w:lvl w:ilvl="0" w:tplc="C060AAA8">
      <w:start w:val="1"/>
      <w:numFmt w:val="bullet"/>
      <w:lvlText w:val=""/>
      <w:lvlJc w:val="left"/>
      <w:pPr>
        <w:tabs>
          <w:tab w:val="num" w:pos="1728"/>
        </w:tabs>
        <w:ind w:left="21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8A0FFC"/>
    <w:multiLevelType w:val="hybridMultilevel"/>
    <w:tmpl w:val="7C8E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47686F"/>
    <w:multiLevelType w:val="hybridMultilevel"/>
    <w:tmpl w:val="9FDC3FC8"/>
    <w:lvl w:ilvl="0" w:tplc="6F441E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C7540"/>
    <w:multiLevelType w:val="multilevel"/>
    <w:tmpl w:val="2870A67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859357C"/>
    <w:multiLevelType w:val="hybridMultilevel"/>
    <w:tmpl w:val="06347B20"/>
    <w:lvl w:ilvl="0" w:tplc="2B769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060F6"/>
    <w:multiLevelType w:val="hybridMultilevel"/>
    <w:tmpl w:val="A99C57E8"/>
    <w:lvl w:ilvl="0" w:tplc="5FD28494">
      <w:start w:val="1"/>
      <w:numFmt w:val="decimal"/>
      <w:pStyle w:val="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4D4899"/>
    <w:multiLevelType w:val="hybridMultilevel"/>
    <w:tmpl w:val="C7AED082"/>
    <w:lvl w:ilvl="0" w:tplc="71BCA92E">
      <w:start w:val="1"/>
      <w:numFmt w:val="bullet"/>
      <w:pStyle w:val="ListBullet2"/>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C7C7A"/>
    <w:multiLevelType w:val="multilevel"/>
    <w:tmpl w:val="35BE2BA4"/>
    <w:lvl w:ilvl="0">
      <w:start w:val="1"/>
      <w:numFmt w:val="bullet"/>
      <w:pStyle w:val="ListBullet20"/>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53C26C7"/>
    <w:multiLevelType w:val="multilevel"/>
    <w:tmpl w:val="2104017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63B4E14"/>
    <w:multiLevelType w:val="hybridMultilevel"/>
    <w:tmpl w:val="3E325676"/>
    <w:lvl w:ilvl="0" w:tplc="105AD2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2F425A"/>
    <w:multiLevelType w:val="multilevel"/>
    <w:tmpl w:val="801C2C0E"/>
    <w:lvl w:ilvl="0">
      <w:start w:val="1"/>
      <w:numFmt w:val="decimal"/>
      <w:pStyle w:val="ListBullet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D20778"/>
    <w:multiLevelType w:val="singleLevel"/>
    <w:tmpl w:val="06541CC4"/>
    <w:lvl w:ilvl="0">
      <w:start w:val="1"/>
      <w:numFmt w:val="decimal"/>
      <w:lvlText w:val="%1."/>
      <w:lvlJc w:val="left"/>
      <w:pPr>
        <w:ind w:left="360" w:hanging="360"/>
      </w:pPr>
      <w:rPr>
        <w:rFonts w:hint="default"/>
      </w:rPr>
    </w:lvl>
  </w:abstractNum>
  <w:abstractNum w:abstractNumId="39" w15:restartNumberingAfterBreak="0">
    <w:nsid w:val="63661D84"/>
    <w:multiLevelType w:val="hybridMultilevel"/>
    <w:tmpl w:val="1994C4EA"/>
    <w:lvl w:ilvl="0" w:tplc="7CA8CB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CF6C1C"/>
    <w:multiLevelType w:val="hybridMultilevel"/>
    <w:tmpl w:val="6C9CF92A"/>
    <w:lvl w:ilvl="0" w:tplc="EF48619A">
      <w:start w:val="1"/>
      <w:numFmt w:val="bullet"/>
      <w:pStyle w:val="ListBullet4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DE37059"/>
    <w:multiLevelType w:val="hybridMultilevel"/>
    <w:tmpl w:val="CAF49D96"/>
    <w:lvl w:ilvl="0" w:tplc="F57298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46197A"/>
    <w:multiLevelType w:val="hybridMultilevel"/>
    <w:tmpl w:val="0016C8E8"/>
    <w:lvl w:ilvl="0" w:tplc="7BAAC4EA">
      <w:start w:val="1"/>
      <w:numFmt w:val="bullet"/>
      <w:pStyle w:val="List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137A97"/>
    <w:multiLevelType w:val="singleLevel"/>
    <w:tmpl w:val="ACB411B6"/>
    <w:lvl w:ilvl="0">
      <w:start w:val="1"/>
      <w:numFmt w:val="decimal"/>
      <w:lvlText w:val="%1."/>
      <w:lvlJc w:val="left"/>
      <w:pPr>
        <w:tabs>
          <w:tab w:val="num" w:pos="432"/>
        </w:tabs>
        <w:ind w:left="432" w:hanging="432"/>
      </w:pPr>
    </w:lvl>
  </w:abstractNum>
  <w:abstractNum w:abstractNumId="44" w15:restartNumberingAfterBreak="0">
    <w:nsid w:val="780D6EBF"/>
    <w:multiLevelType w:val="multilevel"/>
    <w:tmpl w:val="B32AC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D3E0814"/>
    <w:multiLevelType w:val="hybridMultilevel"/>
    <w:tmpl w:val="23BA1C32"/>
    <w:lvl w:ilvl="0" w:tplc="E4DED73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7"/>
  </w:num>
  <w:num w:numId="5">
    <w:abstractNumId w:val="43"/>
  </w:num>
  <w:num w:numId="6">
    <w:abstractNumId w:val="25"/>
  </w:num>
  <w:num w:numId="7">
    <w:abstractNumId w:val="24"/>
  </w:num>
  <w:num w:numId="8">
    <w:abstractNumId w:val="15"/>
  </w:num>
  <w:num w:numId="9">
    <w:abstractNumId w:val="27"/>
  </w:num>
  <w:num w:numId="10">
    <w:abstractNumId w:val="23"/>
  </w:num>
  <w:num w:numId="11">
    <w:abstractNumId w:val="33"/>
  </w:num>
  <w:num w:numId="12">
    <w:abstractNumId w:val="31"/>
  </w:num>
  <w:num w:numId="13">
    <w:abstractNumId w:val="10"/>
  </w:num>
  <w:num w:numId="14">
    <w:abstractNumId w:val="28"/>
  </w:num>
  <w:num w:numId="15">
    <w:abstractNumId w:val="4"/>
  </w:num>
  <w:num w:numId="16">
    <w:abstractNumId w:val="38"/>
  </w:num>
  <w:num w:numId="17">
    <w:abstractNumId w:val="16"/>
  </w:num>
  <w:num w:numId="18">
    <w:abstractNumId w:val="29"/>
  </w:num>
  <w:num w:numId="19">
    <w:abstractNumId w:val="36"/>
  </w:num>
  <w:num w:numId="20">
    <w:abstractNumId w:val="12"/>
  </w:num>
  <w:num w:numId="21">
    <w:abstractNumId w:val="8"/>
  </w:num>
  <w:num w:numId="22">
    <w:abstractNumId w:val="20"/>
  </w:num>
  <w:num w:numId="23">
    <w:abstractNumId w:val="17"/>
  </w:num>
  <w:num w:numId="24">
    <w:abstractNumId w:val="39"/>
  </w:num>
  <w:num w:numId="25">
    <w:abstractNumId w:val="19"/>
  </w:num>
  <w:num w:numId="26">
    <w:abstractNumId w:val="21"/>
  </w:num>
  <w:num w:numId="27">
    <w:abstractNumId w:val="41"/>
  </w:num>
  <w:num w:numId="28">
    <w:abstractNumId w:val="9"/>
  </w:num>
  <w:num w:numId="29">
    <w:abstractNumId w:val="45"/>
  </w:num>
  <w:num w:numId="30">
    <w:abstractNumId w:val="3"/>
  </w:num>
  <w:num w:numId="31">
    <w:abstractNumId w:val="13"/>
  </w:num>
  <w:num w:numId="32">
    <w:abstractNumId w:val="37"/>
  </w:num>
  <w:num w:numId="33">
    <w:abstractNumId w:val="35"/>
  </w:num>
  <w:num w:numId="34">
    <w:abstractNumId w:val="26"/>
  </w:num>
  <w:num w:numId="35">
    <w:abstractNumId w:val="14"/>
  </w:num>
  <w:num w:numId="36">
    <w:abstractNumId w:val="18"/>
  </w:num>
  <w:num w:numId="37">
    <w:abstractNumId w:val="11"/>
  </w:num>
  <w:num w:numId="38">
    <w:abstractNumId w:val="42"/>
  </w:num>
  <w:num w:numId="39">
    <w:abstractNumId w:val="30"/>
  </w:num>
  <w:num w:numId="40">
    <w:abstractNumId w:val="5"/>
  </w:num>
  <w:num w:numId="41">
    <w:abstractNumId w:val="4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2"/>
  </w:num>
  <w:num w:numId="45">
    <w:abstractNumId w:val="34"/>
  </w:num>
  <w:num w:numId="46">
    <w:abstractNumId w:val="0"/>
  </w:num>
  <w:num w:numId="4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FC"/>
    <w:rsid w:val="000104CD"/>
    <w:rsid w:val="0002219E"/>
    <w:rsid w:val="00024BBC"/>
    <w:rsid w:val="00050069"/>
    <w:rsid w:val="00051EC4"/>
    <w:rsid w:val="00062C90"/>
    <w:rsid w:val="00066817"/>
    <w:rsid w:val="00074956"/>
    <w:rsid w:val="000B1C23"/>
    <w:rsid w:val="000B2456"/>
    <w:rsid w:val="000B6DA0"/>
    <w:rsid w:val="000D46C8"/>
    <w:rsid w:val="000E396E"/>
    <w:rsid w:val="001437D1"/>
    <w:rsid w:val="0016713A"/>
    <w:rsid w:val="00183F54"/>
    <w:rsid w:val="00184685"/>
    <w:rsid w:val="001C1C2E"/>
    <w:rsid w:val="001C2627"/>
    <w:rsid w:val="001D065A"/>
    <w:rsid w:val="001D7ACF"/>
    <w:rsid w:val="001E1FEB"/>
    <w:rsid w:val="00203A4F"/>
    <w:rsid w:val="00221438"/>
    <w:rsid w:val="0024475B"/>
    <w:rsid w:val="002B12F3"/>
    <w:rsid w:val="002B78F5"/>
    <w:rsid w:val="002F2019"/>
    <w:rsid w:val="0030340B"/>
    <w:rsid w:val="00311792"/>
    <w:rsid w:val="003123E5"/>
    <w:rsid w:val="00346BFC"/>
    <w:rsid w:val="00347A33"/>
    <w:rsid w:val="00357838"/>
    <w:rsid w:val="003830CE"/>
    <w:rsid w:val="003911E9"/>
    <w:rsid w:val="003A24BC"/>
    <w:rsid w:val="003B0718"/>
    <w:rsid w:val="00451269"/>
    <w:rsid w:val="00464817"/>
    <w:rsid w:val="0046690D"/>
    <w:rsid w:val="0049282A"/>
    <w:rsid w:val="00494D40"/>
    <w:rsid w:val="004B044C"/>
    <w:rsid w:val="004C6384"/>
    <w:rsid w:val="004C7DD9"/>
    <w:rsid w:val="004D4ED9"/>
    <w:rsid w:val="004F76D4"/>
    <w:rsid w:val="00500F58"/>
    <w:rsid w:val="00503AB6"/>
    <w:rsid w:val="00525881"/>
    <w:rsid w:val="00540664"/>
    <w:rsid w:val="005431DF"/>
    <w:rsid w:val="00546137"/>
    <w:rsid w:val="005461EF"/>
    <w:rsid w:val="005463A7"/>
    <w:rsid w:val="005529B5"/>
    <w:rsid w:val="005643E5"/>
    <w:rsid w:val="00583249"/>
    <w:rsid w:val="005C1A7B"/>
    <w:rsid w:val="005C4207"/>
    <w:rsid w:val="005D4569"/>
    <w:rsid w:val="005E4172"/>
    <w:rsid w:val="005F489A"/>
    <w:rsid w:val="005F73CD"/>
    <w:rsid w:val="00604591"/>
    <w:rsid w:val="0063015A"/>
    <w:rsid w:val="006322FC"/>
    <w:rsid w:val="00667E70"/>
    <w:rsid w:val="006A145E"/>
    <w:rsid w:val="006C36E8"/>
    <w:rsid w:val="006E1690"/>
    <w:rsid w:val="00702ECE"/>
    <w:rsid w:val="007655F9"/>
    <w:rsid w:val="0077540B"/>
    <w:rsid w:val="00790A43"/>
    <w:rsid w:val="007A6790"/>
    <w:rsid w:val="007B0FD7"/>
    <w:rsid w:val="007B36F4"/>
    <w:rsid w:val="007F4D10"/>
    <w:rsid w:val="0080660E"/>
    <w:rsid w:val="008971FC"/>
    <w:rsid w:val="008A1266"/>
    <w:rsid w:val="008A555D"/>
    <w:rsid w:val="008E361B"/>
    <w:rsid w:val="0090121D"/>
    <w:rsid w:val="009709F0"/>
    <w:rsid w:val="00983A48"/>
    <w:rsid w:val="00991AE7"/>
    <w:rsid w:val="009A706D"/>
    <w:rsid w:val="009B4A0D"/>
    <w:rsid w:val="009E2D34"/>
    <w:rsid w:val="00A807C7"/>
    <w:rsid w:val="00A81734"/>
    <w:rsid w:val="00A8396B"/>
    <w:rsid w:val="00AC5200"/>
    <w:rsid w:val="00AE09FC"/>
    <w:rsid w:val="00AE4E80"/>
    <w:rsid w:val="00B06DDE"/>
    <w:rsid w:val="00B11E44"/>
    <w:rsid w:val="00B20306"/>
    <w:rsid w:val="00B42666"/>
    <w:rsid w:val="00B47E1B"/>
    <w:rsid w:val="00B5385A"/>
    <w:rsid w:val="00B747FE"/>
    <w:rsid w:val="00B81896"/>
    <w:rsid w:val="00BC6F33"/>
    <w:rsid w:val="00BD4706"/>
    <w:rsid w:val="00C20739"/>
    <w:rsid w:val="00C460AF"/>
    <w:rsid w:val="00C52B73"/>
    <w:rsid w:val="00C81CCA"/>
    <w:rsid w:val="00C86365"/>
    <w:rsid w:val="00C96A92"/>
    <w:rsid w:val="00D1254F"/>
    <w:rsid w:val="00D23A0A"/>
    <w:rsid w:val="00D42399"/>
    <w:rsid w:val="00D4747D"/>
    <w:rsid w:val="00D720B6"/>
    <w:rsid w:val="00D74DDC"/>
    <w:rsid w:val="00D808AB"/>
    <w:rsid w:val="00DB61AD"/>
    <w:rsid w:val="00E04660"/>
    <w:rsid w:val="00E06ADD"/>
    <w:rsid w:val="00E109E1"/>
    <w:rsid w:val="00E356A9"/>
    <w:rsid w:val="00E77338"/>
    <w:rsid w:val="00E93A01"/>
    <w:rsid w:val="00EC4A45"/>
    <w:rsid w:val="00EE3BD9"/>
    <w:rsid w:val="00EF3C7F"/>
    <w:rsid w:val="00F12DC9"/>
    <w:rsid w:val="00F27D26"/>
    <w:rsid w:val="00F61C04"/>
    <w:rsid w:val="00F6309B"/>
    <w:rsid w:val="00F65F2C"/>
    <w:rsid w:val="00F837BB"/>
    <w:rsid w:val="00FA0483"/>
    <w:rsid w:val="00FA1BB2"/>
    <w:rsid w:val="00FB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6D2D5"/>
  <w15:docId w15:val="{267A886B-5D7D-431B-B81C-D0E7DF7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C90"/>
    <w:rPr>
      <w:rFonts w:asciiTheme="minorHAnsi" w:eastAsia="MS Mincho" w:hAnsiTheme="minorHAnsi"/>
      <w:kern w:val="20"/>
      <w:sz w:val="22"/>
      <w:lang w:eastAsia="ja-JP"/>
    </w:rPr>
  </w:style>
  <w:style w:type="paragraph" w:styleId="Heading1">
    <w:name w:val="heading 1"/>
    <w:basedOn w:val="Normal"/>
    <w:next w:val="Normal"/>
    <w:link w:val="Heading1Char"/>
    <w:uiPriority w:val="9"/>
    <w:qFormat/>
    <w:rsid w:val="00062C90"/>
    <w:pPr>
      <w:keepNext/>
      <w:keepLines/>
      <w:ind w:left="360" w:hanging="360"/>
      <w:outlineLvl w:val="0"/>
    </w:pPr>
    <w:rPr>
      <w:rFonts w:asciiTheme="majorHAnsi" w:eastAsiaTheme="majorEastAsia" w:hAnsiTheme="majorHAnsi"/>
      <w:b/>
      <w:szCs w:val="40"/>
    </w:rPr>
  </w:style>
  <w:style w:type="paragraph" w:styleId="Heading2">
    <w:name w:val="heading 2"/>
    <w:aliases w:val="Heading 2 Char,Heading 2 Char1 Char,Heading 2 Char Char Char,Heading 2 Char Char1,Heading 2 Char1 Char Char Char Char,Heading 2 Char Char Char Char Char Char,Heading 2 Char1 Char Char Char Char Char Char,Heading 2 Char1,Heading 2 Char Char"/>
    <w:basedOn w:val="Normal"/>
    <w:link w:val="Heading2Char2"/>
    <w:uiPriority w:val="9"/>
    <w:unhideWhenUsed/>
    <w:rsid w:val="00062C90"/>
    <w:pPr>
      <w:ind w:left="360" w:hanging="360"/>
      <w:outlineLvl w:val="1"/>
    </w:pPr>
    <w:rPr>
      <w:rFonts w:eastAsiaTheme="majorEastAsia" w:cstheme="majorBidi"/>
      <w:szCs w:val="26"/>
      <w:lang w:bidi="en-US"/>
    </w:rPr>
  </w:style>
  <w:style w:type="paragraph" w:styleId="Heading3">
    <w:name w:val="heading 3"/>
    <w:basedOn w:val="Normal"/>
    <w:link w:val="Heading3Char"/>
    <w:unhideWhenUsed/>
    <w:qFormat/>
    <w:rsid w:val="00062C90"/>
    <w:pPr>
      <w:widowControl w:val="0"/>
      <w:tabs>
        <w:tab w:val="left" w:pos="1080"/>
      </w:tabs>
      <w:ind w:left="720" w:hanging="360"/>
      <w:outlineLvl w:val="2"/>
    </w:pPr>
    <w:rPr>
      <w:rFonts w:eastAsiaTheme="majorEastAsia" w:cstheme="majorBidi"/>
      <w:bCs/>
      <w:szCs w:val="22"/>
    </w:rPr>
  </w:style>
  <w:style w:type="paragraph" w:styleId="Heading4">
    <w:name w:val="heading 4"/>
    <w:basedOn w:val="Heading3"/>
    <w:link w:val="Heading4Char"/>
    <w:uiPriority w:val="9"/>
    <w:unhideWhenUsed/>
    <w:qFormat/>
    <w:rsid w:val="00062C90"/>
    <w:pPr>
      <w:ind w:left="1080"/>
      <w:outlineLvl w:val="3"/>
    </w:pPr>
    <w:rPr>
      <w:iCs/>
    </w:rPr>
  </w:style>
  <w:style w:type="paragraph" w:styleId="Heading5">
    <w:name w:val="heading 5"/>
    <w:basedOn w:val="Heading4"/>
    <w:link w:val="Heading5Char"/>
    <w:uiPriority w:val="9"/>
    <w:unhideWhenUsed/>
    <w:qFormat/>
    <w:rsid w:val="00062C90"/>
    <w:pPr>
      <w:ind w:left="1440"/>
      <w:outlineLvl w:val="4"/>
    </w:pPr>
  </w:style>
  <w:style w:type="paragraph" w:styleId="Heading6">
    <w:name w:val="heading 6"/>
    <w:basedOn w:val="Heading5"/>
    <w:link w:val="Heading6Char"/>
    <w:uiPriority w:val="9"/>
    <w:unhideWhenUsed/>
    <w:qFormat/>
    <w:rsid w:val="00062C90"/>
    <w:pPr>
      <w:widowControl/>
      <w:ind w:left="1800"/>
      <w:outlineLvl w:val="5"/>
    </w:pPr>
    <w:rPr>
      <w:color w:val="000000" w:themeColor="text1"/>
      <w:kern w:val="32"/>
    </w:rPr>
  </w:style>
  <w:style w:type="paragraph" w:styleId="Heading7">
    <w:name w:val="heading 7"/>
    <w:basedOn w:val="Normal"/>
    <w:link w:val="Heading7Char"/>
    <w:uiPriority w:val="9"/>
    <w:unhideWhenUsed/>
    <w:qFormat/>
    <w:rsid w:val="00062C90"/>
    <w:pPr>
      <w:ind w:left="2160" w:hanging="360"/>
      <w:outlineLvl w:val="6"/>
    </w:pPr>
    <w:rPr>
      <w:rFonts w:eastAsiaTheme="majorEastAsia" w:cstheme="majorBidi"/>
      <w:iCs/>
      <w:color w:val="243F60" w:themeColor="accent1" w:themeShade="7F"/>
      <w:szCs w:val="22"/>
    </w:rPr>
  </w:style>
  <w:style w:type="paragraph" w:styleId="Heading8">
    <w:name w:val="heading 8"/>
    <w:basedOn w:val="Normal"/>
    <w:next w:val="Normal"/>
    <w:link w:val="Heading8Char"/>
    <w:qFormat/>
    <w:rsid w:val="00062C90"/>
    <w:pPr>
      <w:keepNext/>
      <w:outlineLvl w:val="7"/>
    </w:pPr>
  </w:style>
  <w:style w:type="paragraph" w:styleId="Heading9">
    <w:name w:val="heading 9"/>
    <w:basedOn w:val="Normal"/>
    <w:next w:val="Normal"/>
    <w:link w:val="Heading9Char"/>
    <w:qFormat/>
    <w:rsid w:val="00062C90"/>
    <w:pPr>
      <w:keepNext/>
      <w:outlineLvl w:val="8"/>
    </w:pPr>
    <w:rPr>
      <w:b/>
      <w:bCs/>
      <w:snapToGrid w:val="0"/>
      <w:sz w:val="19"/>
    </w:rPr>
  </w:style>
  <w:style w:type="character" w:default="1" w:styleId="DefaultParagraphFont">
    <w:name w:val="Default Paragraph Font"/>
    <w:uiPriority w:val="1"/>
    <w:semiHidden/>
    <w:unhideWhenUsed/>
    <w:rsid w:val="00062C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C90"/>
  </w:style>
  <w:style w:type="paragraph" w:styleId="List">
    <w:name w:val="List"/>
    <w:basedOn w:val="Normal"/>
    <w:rsid w:val="00062C90"/>
    <w:pPr>
      <w:numPr>
        <w:numId w:val="43"/>
      </w:numPr>
    </w:pPr>
    <w:rPr>
      <w:rFonts w:ascii="Calibri" w:eastAsiaTheme="minorHAnsi" w:hAnsi="Calibri" w:cstheme="minorBidi"/>
      <w:szCs w:val="22"/>
    </w:rPr>
  </w:style>
  <w:style w:type="paragraph" w:styleId="ListBullet">
    <w:name w:val="List Bullet"/>
    <w:basedOn w:val="Normal"/>
    <w:link w:val="ListBulletChar"/>
    <w:rsid w:val="00062C90"/>
    <w:pPr>
      <w:numPr>
        <w:numId w:val="44"/>
      </w:numPr>
      <w:ind w:left="360"/>
      <w:contextualSpacing/>
    </w:pPr>
    <w:rPr>
      <w:rFonts w:ascii="Calibri" w:eastAsia="Calibri" w:hAnsi="Calibri" w:cs="Calibri"/>
      <w:color w:val="000000"/>
      <w:kern w:val="0"/>
      <w:szCs w:val="22"/>
      <w:lang w:eastAsia="en-US"/>
    </w:rPr>
  </w:style>
  <w:style w:type="paragraph" w:styleId="ListBullet20">
    <w:name w:val="List Bullet 2"/>
    <w:basedOn w:val="Normal"/>
    <w:link w:val="ListBullet2Char"/>
    <w:unhideWhenUsed/>
    <w:rsid w:val="00062C90"/>
    <w:pPr>
      <w:numPr>
        <w:numId w:val="45"/>
      </w:numPr>
      <w:tabs>
        <w:tab w:val="num" w:pos="720"/>
      </w:tabs>
      <w:contextualSpacing/>
    </w:pPr>
    <w:rPr>
      <w:rFonts w:cstheme="minorBidi"/>
      <w:szCs w:val="22"/>
    </w:rPr>
  </w:style>
  <w:style w:type="character" w:customStyle="1" w:styleId="bold">
    <w:name w:val="bold"/>
    <w:rsid w:val="00062C90"/>
    <w:rPr>
      <w:rFonts w:ascii="Helvetica" w:hAnsi="Helvetica"/>
      <w:b/>
      <w:sz w:val="20"/>
    </w:rPr>
  </w:style>
  <w:style w:type="paragraph" w:styleId="BodyText">
    <w:name w:val="Body Text"/>
    <w:basedOn w:val="Normal"/>
    <w:link w:val="BodyTextChar"/>
    <w:uiPriority w:val="99"/>
    <w:unhideWhenUsed/>
    <w:rsid w:val="00062C90"/>
    <w:pPr>
      <w:spacing w:after="120"/>
    </w:pPr>
  </w:style>
  <w:style w:type="paragraph" w:customStyle="1" w:styleId="firstparagraph">
    <w:name w:val="first paragraph"/>
    <w:aliases w:val="outline"/>
    <w:rsid w:val="00062C90"/>
    <w:pPr>
      <w:tabs>
        <w:tab w:val="left" w:pos="720"/>
        <w:tab w:val="left" w:pos="1440"/>
        <w:tab w:val="left" w:pos="2160"/>
      </w:tabs>
      <w:spacing w:line="240" w:lineRule="exact"/>
      <w:ind w:left="720" w:hanging="720"/>
    </w:pPr>
    <w:rPr>
      <w:rFonts w:ascii="Helvetica" w:eastAsiaTheme="minorHAnsi" w:hAnsi="Helvetica"/>
    </w:rPr>
  </w:style>
  <w:style w:type="paragraph" w:customStyle="1" w:styleId="paragraphtwo">
    <w:name w:val="paragraph two"/>
    <w:aliases w:val="outline3"/>
    <w:rsid w:val="00062C90"/>
    <w:pPr>
      <w:tabs>
        <w:tab w:val="left" w:pos="720"/>
        <w:tab w:val="left" w:pos="1440"/>
      </w:tabs>
      <w:spacing w:line="240" w:lineRule="exact"/>
      <w:ind w:left="1440" w:hanging="720"/>
    </w:pPr>
    <w:rPr>
      <w:rFonts w:ascii="Helvetica" w:eastAsiaTheme="minorHAnsi" w:hAnsi="Helvetica"/>
    </w:rPr>
  </w:style>
  <w:style w:type="paragraph" w:customStyle="1" w:styleId="3P">
    <w:name w:val="3P"/>
    <w:rsid w:val="00062C90"/>
    <w:pPr>
      <w:tabs>
        <w:tab w:val="left" w:pos="720"/>
        <w:tab w:val="left" w:pos="1440"/>
        <w:tab w:val="left" w:pos="2160"/>
      </w:tabs>
      <w:spacing w:line="240" w:lineRule="exact"/>
      <w:ind w:left="2160" w:hanging="720"/>
    </w:pPr>
    <w:rPr>
      <w:rFonts w:ascii="Helvetica" w:eastAsiaTheme="minorHAnsi" w:hAnsi="Helvetica"/>
    </w:rPr>
  </w:style>
  <w:style w:type="paragraph" w:styleId="Header">
    <w:name w:val="header"/>
    <w:basedOn w:val="Normal"/>
    <w:link w:val="HeaderChar"/>
    <w:rsid w:val="00062C90"/>
    <w:pPr>
      <w:jc w:val="center"/>
    </w:pPr>
  </w:style>
  <w:style w:type="paragraph" w:styleId="Footer">
    <w:name w:val="footer"/>
    <w:basedOn w:val="Normal"/>
    <w:link w:val="FooterChar"/>
    <w:rsid w:val="00062C90"/>
    <w:pPr>
      <w:tabs>
        <w:tab w:val="center" w:pos="4320"/>
        <w:tab w:val="right" w:pos="8640"/>
      </w:tabs>
    </w:pPr>
  </w:style>
  <w:style w:type="character" w:customStyle="1" w:styleId="bold4">
    <w:name w:val="bold4"/>
    <w:aliases w:val="underlined"/>
    <w:rsid w:val="00062C90"/>
    <w:rPr>
      <w:rFonts w:ascii="Helvetica" w:hAnsi="Helvetica"/>
      <w:b/>
      <w:sz w:val="20"/>
      <w:u w:val="single"/>
    </w:rPr>
  </w:style>
  <w:style w:type="character" w:customStyle="1" w:styleId="italic">
    <w:name w:val="italic"/>
    <w:rsid w:val="00062C90"/>
    <w:rPr>
      <w:rFonts w:ascii="Helvetica" w:hAnsi="Helvetica"/>
      <w:i/>
      <w:sz w:val="20"/>
    </w:rPr>
  </w:style>
  <w:style w:type="character" w:customStyle="1" w:styleId="superscript">
    <w:name w:val="superscript"/>
    <w:rsid w:val="00062C90"/>
    <w:rPr>
      <w:rFonts w:ascii="Helvetica" w:hAnsi="Helvetica"/>
      <w:position w:val="6"/>
      <w:sz w:val="16"/>
    </w:rPr>
  </w:style>
  <w:style w:type="paragraph" w:styleId="ListNumber">
    <w:name w:val="List Number"/>
    <w:basedOn w:val="Normal"/>
    <w:unhideWhenUsed/>
    <w:rsid w:val="00062C90"/>
    <w:pPr>
      <w:numPr>
        <w:numId w:val="29"/>
      </w:numPr>
      <w:contextualSpacing/>
    </w:pPr>
  </w:style>
  <w:style w:type="character" w:styleId="PageNumber">
    <w:name w:val="page number"/>
    <w:basedOn w:val="DefaultParagraphFont"/>
    <w:rsid w:val="00062C90"/>
  </w:style>
  <w:style w:type="character" w:styleId="Hyperlink">
    <w:name w:val="Hyperlink"/>
    <w:rsid w:val="00062C90"/>
    <w:rPr>
      <w:color w:val="0000FF"/>
      <w:u w:val="single"/>
    </w:rPr>
  </w:style>
  <w:style w:type="character" w:styleId="FollowedHyperlink">
    <w:name w:val="FollowedHyperlink"/>
    <w:rsid w:val="00062C90"/>
    <w:rPr>
      <w:color w:val="800080"/>
      <w:u w:val="single"/>
    </w:rPr>
  </w:style>
  <w:style w:type="character" w:customStyle="1" w:styleId="underline">
    <w:name w:val="underline"/>
    <w:rsid w:val="00062C90"/>
    <w:rPr>
      <w:rFonts w:ascii="Helvetica" w:hAnsi="Helvetica"/>
      <w:sz w:val="20"/>
      <w:u w:val="single"/>
    </w:rPr>
  </w:style>
  <w:style w:type="character" w:customStyle="1" w:styleId="subscript">
    <w:name w:val="subscript"/>
    <w:rsid w:val="00062C90"/>
    <w:rPr>
      <w:rFonts w:ascii="Helvetica" w:hAnsi="Helvetica"/>
      <w:position w:val="-6"/>
      <w:sz w:val="16"/>
    </w:rPr>
  </w:style>
  <w:style w:type="paragraph" w:customStyle="1" w:styleId="2p">
    <w:name w:val="2p"/>
    <w:basedOn w:val="firstparagraph"/>
    <w:rsid w:val="00062C90"/>
    <w:pPr>
      <w:ind w:left="1440"/>
    </w:pPr>
  </w:style>
  <w:style w:type="character" w:customStyle="1" w:styleId="bold1">
    <w:name w:val="bold1"/>
    <w:aliases w:val="large"/>
    <w:rsid w:val="00062C90"/>
    <w:rPr>
      <w:rFonts w:ascii="Arial" w:hAnsi="Arial"/>
      <w:b/>
      <w:caps/>
      <w:sz w:val="24"/>
    </w:rPr>
  </w:style>
  <w:style w:type="character" w:customStyle="1" w:styleId="bold2">
    <w:name w:val="bold2"/>
    <w:aliases w:val="italic2"/>
    <w:rsid w:val="00062C90"/>
    <w:rPr>
      <w:rFonts w:ascii="Helvetica" w:hAnsi="Helvetica"/>
      <w:b/>
      <w:i/>
      <w:sz w:val="20"/>
    </w:rPr>
  </w:style>
  <w:style w:type="character" w:customStyle="1" w:styleId="bold3">
    <w:name w:val="bold3"/>
    <w:aliases w:val="small caps"/>
    <w:rsid w:val="00062C90"/>
    <w:rPr>
      <w:rFonts w:ascii="Helvetica" w:hAnsi="Helvetica"/>
      <w:b/>
      <w:smallCaps/>
      <w:sz w:val="20"/>
    </w:rPr>
  </w:style>
  <w:style w:type="paragraph" w:customStyle="1" w:styleId="center">
    <w:name w:val="center"/>
    <w:rsid w:val="00062C90"/>
    <w:pPr>
      <w:keepLines/>
      <w:tabs>
        <w:tab w:val="left" w:pos="1440"/>
      </w:tabs>
      <w:spacing w:after="480" w:line="240" w:lineRule="exact"/>
      <w:jc w:val="center"/>
    </w:pPr>
    <w:rPr>
      <w:rFonts w:ascii="Helvetica" w:eastAsiaTheme="minorHAnsi" w:hAnsi="Helvetica"/>
      <w:sz w:val="24"/>
    </w:rPr>
  </w:style>
  <w:style w:type="character" w:customStyle="1" w:styleId="Character11">
    <w:name w:val="Character 11"/>
    <w:rsid w:val="00062C90"/>
    <w:rPr>
      <w:rFonts w:ascii="Helvetica" w:hAnsi="Helvetica"/>
      <w:sz w:val="20"/>
    </w:rPr>
  </w:style>
  <w:style w:type="paragraph" w:customStyle="1" w:styleId="fifthparagraph">
    <w:name w:val="fifth paragraph"/>
    <w:aliases w:val="outline2"/>
    <w:rsid w:val="00062C90"/>
    <w:pPr>
      <w:tabs>
        <w:tab w:val="left" w:pos="720"/>
        <w:tab w:val="left" w:pos="1440"/>
        <w:tab w:val="left" w:pos="2160"/>
        <w:tab w:val="left" w:pos="2592"/>
        <w:tab w:val="left" w:pos="3024"/>
        <w:tab w:val="left" w:pos="3456"/>
      </w:tabs>
      <w:spacing w:line="240" w:lineRule="exact"/>
      <w:ind w:left="3600" w:hanging="720"/>
    </w:pPr>
    <w:rPr>
      <w:rFonts w:ascii="Helvetica" w:eastAsiaTheme="minorHAnsi" w:hAnsi="Helvetica"/>
    </w:rPr>
  </w:style>
  <w:style w:type="paragraph" w:customStyle="1" w:styleId="fourthparagraph">
    <w:name w:val="fourth paragraph"/>
    <w:rsid w:val="00062C90"/>
    <w:pPr>
      <w:tabs>
        <w:tab w:val="left" w:pos="720"/>
        <w:tab w:val="left" w:pos="1440"/>
        <w:tab w:val="left" w:pos="2160"/>
        <w:tab w:val="left" w:pos="2592"/>
      </w:tabs>
      <w:spacing w:line="240" w:lineRule="exact"/>
      <w:ind w:left="2880" w:hanging="720"/>
    </w:pPr>
    <w:rPr>
      <w:rFonts w:ascii="Helvetica" w:eastAsiaTheme="minorHAnsi" w:hAnsi="Helvetica"/>
    </w:rPr>
  </w:style>
  <w:style w:type="paragraph" w:customStyle="1" w:styleId="LEFTSIDE-BY-SIDE">
    <w:name w:val="LEFT SIDE-BY-SIDE"/>
    <w:rsid w:val="00062C90"/>
    <w:pPr>
      <w:ind w:right="4680"/>
    </w:pPr>
    <w:rPr>
      <w:rFonts w:ascii="Helvetica" w:eastAsiaTheme="minorHAnsi" w:hAnsi="Helvetica"/>
    </w:rPr>
  </w:style>
  <w:style w:type="character" w:styleId="LineNumber">
    <w:name w:val="line number"/>
    <w:basedOn w:val="DefaultParagraphFont"/>
    <w:rsid w:val="00062C90"/>
  </w:style>
  <w:style w:type="paragraph" w:customStyle="1" w:styleId="P0">
    <w:name w:val="P0"/>
    <w:rsid w:val="00062C90"/>
    <w:pPr>
      <w:ind w:firstLine="720"/>
    </w:pPr>
    <w:rPr>
      <w:rFonts w:ascii="Helvetica" w:eastAsiaTheme="minorHAnsi" w:hAnsi="Helvetica"/>
    </w:rPr>
  </w:style>
  <w:style w:type="paragraph" w:customStyle="1" w:styleId="P1">
    <w:name w:val="P1"/>
    <w:rsid w:val="00062C90"/>
    <w:pPr>
      <w:ind w:left="720" w:firstLine="720"/>
    </w:pPr>
    <w:rPr>
      <w:rFonts w:ascii="Helvetica" w:eastAsiaTheme="minorHAnsi" w:hAnsi="Helvetica"/>
    </w:rPr>
  </w:style>
  <w:style w:type="paragraph" w:customStyle="1" w:styleId="P2">
    <w:name w:val="P2"/>
    <w:rsid w:val="00062C90"/>
    <w:pPr>
      <w:ind w:left="1440" w:firstLine="720"/>
    </w:pPr>
    <w:rPr>
      <w:rFonts w:ascii="Helvetica" w:eastAsiaTheme="minorHAnsi" w:hAnsi="Helvetica"/>
    </w:rPr>
  </w:style>
  <w:style w:type="paragraph" w:customStyle="1" w:styleId="P3">
    <w:name w:val="P3"/>
    <w:rsid w:val="00062C90"/>
    <w:pPr>
      <w:ind w:left="2160" w:firstLine="720"/>
    </w:pPr>
    <w:rPr>
      <w:rFonts w:ascii="Helvetica" w:eastAsiaTheme="minorHAnsi" w:hAnsi="Helvetica"/>
    </w:rPr>
  </w:style>
  <w:style w:type="paragraph" w:customStyle="1" w:styleId="P4">
    <w:name w:val="P4"/>
    <w:rsid w:val="00062C90"/>
    <w:pPr>
      <w:ind w:left="2880" w:firstLine="720"/>
    </w:pPr>
    <w:rPr>
      <w:rFonts w:ascii="Helvetica" w:eastAsiaTheme="minorHAnsi" w:hAnsi="Helvetica"/>
    </w:rPr>
  </w:style>
  <w:style w:type="paragraph" w:customStyle="1" w:styleId="P5">
    <w:name w:val="P5"/>
    <w:rsid w:val="00062C90"/>
    <w:pPr>
      <w:ind w:left="3600" w:firstLine="720"/>
    </w:pPr>
    <w:rPr>
      <w:rFonts w:ascii="Helvetica" w:eastAsiaTheme="minorHAnsi" w:hAnsi="Helvetica"/>
    </w:rPr>
  </w:style>
  <w:style w:type="paragraph" w:customStyle="1" w:styleId="RIGHTSIDE-BY-SIDE">
    <w:name w:val="RIGHT SIDE-BY-SIDE"/>
    <w:rsid w:val="00062C90"/>
    <w:pPr>
      <w:ind w:left="4680"/>
    </w:pPr>
    <w:rPr>
      <w:rFonts w:ascii="Helvetica" w:eastAsiaTheme="minorHAnsi" w:hAnsi="Helvetica"/>
    </w:rPr>
  </w:style>
  <w:style w:type="paragraph" w:customStyle="1" w:styleId="sixthparagraph">
    <w:name w:val="sixth paragraph"/>
    <w:aliases w:val="outline1"/>
    <w:rsid w:val="00062C90"/>
    <w:pPr>
      <w:tabs>
        <w:tab w:val="left" w:pos="720"/>
        <w:tab w:val="left" w:pos="1440"/>
        <w:tab w:val="left" w:pos="2160"/>
        <w:tab w:val="left" w:pos="2592"/>
        <w:tab w:val="left" w:pos="3024"/>
        <w:tab w:val="left" w:pos="3456"/>
        <w:tab w:val="left" w:pos="3888"/>
      </w:tabs>
      <w:spacing w:line="240" w:lineRule="exact"/>
      <w:ind w:left="4320" w:hanging="720"/>
    </w:pPr>
    <w:rPr>
      <w:rFonts w:ascii="Helvetica" w:eastAsiaTheme="minorHAnsi" w:hAnsi="Helvetica"/>
    </w:rPr>
  </w:style>
  <w:style w:type="paragraph" w:customStyle="1" w:styleId="SUBHEAD">
    <w:name w:val="SUBHEAD"/>
    <w:rsid w:val="00062C90"/>
    <w:rPr>
      <w:rFonts w:ascii="Helvetica" w:eastAsiaTheme="minorHAnsi" w:hAnsi="Helvetica"/>
      <w:b/>
      <w:u w:val="single"/>
    </w:rPr>
  </w:style>
  <w:style w:type="paragraph" w:customStyle="1" w:styleId="textmanuscript">
    <w:name w:val="text (manuscript)"/>
    <w:link w:val="textmanuscriptChar1"/>
    <w:rsid w:val="00062C90"/>
    <w:pPr>
      <w:spacing w:after="120"/>
    </w:pPr>
    <w:rPr>
      <w:rFonts w:eastAsia="MS Mincho"/>
      <w:kern w:val="20"/>
      <w:sz w:val="22"/>
      <w:szCs w:val="22"/>
    </w:rPr>
  </w:style>
  <w:style w:type="paragraph" w:customStyle="1" w:styleId="Title1">
    <w:name w:val="Title1"/>
    <w:rsid w:val="00062C90"/>
    <w:pPr>
      <w:spacing w:after="480" w:line="240" w:lineRule="exact"/>
      <w:jc w:val="center"/>
    </w:pPr>
    <w:rPr>
      <w:rFonts w:ascii="Helvetica" w:eastAsiaTheme="minorHAnsi" w:hAnsi="Helvetica"/>
      <w:b/>
      <w:caps/>
      <w:sz w:val="24"/>
    </w:rPr>
  </w:style>
  <w:style w:type="character" w:customStyle="1" w:styleId="italic1">
    <w:name w:val="italic1"/>
    <w:aliases w:val="underlined1"/>
    <w:rsid w:val="00062C90"/>
    <w:rPr>
      <w:rFonts w:ascii="Helvetica" w:hAnsi="Helvetica"/>
      <w:i/>
      <w:sz w:val="20"/>
      <w:u w:val="single"/>
    </w:rPr>
  </w:style>
  <w:style w:type="paragraph" w:customStyle="1" w:styleId="unlerline1">
    <w:name w:val="unlerline1"/>
    <w:basedOn w:val="Normal"/>
    <w:rsid w:val="00062C90"/>
    <w:rPr>
      <w:rFonts w:ascii="Helv" w:hAnsi="Helv"/>
      <w:i/>
    </w:rPr>
  </w:style>
  <w:style w:type="paragraph" w:styleId="ListBullet3">
    <w:name w:val="List Bullet 3"/>
    <w:basedOn w:val="ListNumber2"/>
    <w:rsid w:val="00347A33"/>
    <w:pPr>
      <w:numPr>
        <w:numId w:val="6"/>
      </w:numPr>
      <w:tabs>
        <w:tab w:val="left" w:pos="1080"/>
      </w:tabs>
      <w:ind w:left="1080"/>
      <w:contextualSpacing w:val="0"/>
    </w:pPr>
    <w:rPr>
      <w:rFonts w:ascii="Calibri" w:eastAsiaTheme="minorHAnsi" w:hAnsi="Calibri" w:cstheme="minorBidi"/>
      <w:kern w:val="0"/>
      <w:szCs w:val="22"/>
      <w:lang w:eastAsia="en-US"/>
    </w:rPr>
  </w:style>
  <w:style w:type="paragraph" w:styleId="ListNumber2">
    <w:name w:val="List Number 2"/>
    <w:basedOn w:val="Normal"/>
    <w:uiPriority w:val="99"/>
    <w:unhideWhenUsed/>
    <w:rsid w:val="00062C90"/>
    <w:pPr>
      <w:numPr>
        <w:numId w:val="46"/>
      </w:numPr>
      <w:contextualSpacing/>
    </w:pPr>
  </w:style>
  <w:style w:type="paragraph" w:styleId="List3">
    <w:name w:val="List 3"/>
    <w:basedOn w:val="List2"/>
    <w:link w:val="List3Char"/>
    <w:rsid w:val="00062C90"/>
    <w:pPr>
      <w:tabs>
        <w:tab w:val="left" w:pos="720"/>
        <w:tab w:val="left" w:pos="1080"/>
      </w:tabs>
      <w:ind w:left="1080"/>
    </w:pPr>
  </w:style>
  <w:style w:type="paragraph" w:styleId="List2">
    <w:name w:val="List 2"/>
    <w:basedOn w:val="Normal"/>
    <w:link w:val="List2Char"/>
    <w:rsid w:val="00062C90"/>
    <w:pPr>
      <w:ind w:left="720" w:hanging="360"/>
    </w:pPr>
  </w:style>
  <w:style w:type="paragraph" w:styleId="ListBullet4">
    <w:name w:val="List Bullet 4"/>
    <w:basedOn w:val="ListBullet1"/>
    <w:uiPriority w:val="99"/>
    <w:unhideWhenUsed/>
    <w:rsid w:val="00347A33"/>
    <w:pPr>
      <w:numPr>
        <w:numId w:val="38"/>
      </w:numPr>
      <w:tabs>
        <w:tab w:val="clear" w:pos="720"/>
        <w:tab w:val="left" w:pos="1440"/>
      </w:tabs>
      <w:ind w:left="1440"/>
      <w:contextualSpacing/>
    </w:pPr>
  </w:style>
  <w:style w:type="paragraph" w:styleId="ListBullet5">
    <w:name w:val="List Bullet 5"/>
    <w:basedOn w:val="Normal"/>
    <w:uiPriority w:val="99"/>
    <w:unhideWhenUsed/>
    <w:rsid w:val="00062C90"/>
    <w:pPr>
      <w:numPr>
        <w:numId w:val="3"/>
      </w:numPr>
      <w:contextualSpacing/>
    </w:pPr>
  </w:style>
  <w:style w:type="paragraph" w:customStyle="1" w:styleId="Listbullet6">
    <w:name w:val="List bullet 6"/>
    <w:basedOn w:val="List"/>
    <w:rsid w:val="00062C90"/>
    <w:pPr>
      <w:numPr>
        <w:numId w:val="4"/>
      </w:numPr>
    </w:pPr>
    <w:rPr>
      <w:snapToGrid w:val="0"/>
    </w:rPr>
  </w:style>
  <w:style w:type="paragraph" w:styleId="List5">
    <w:name w:val="List 5"/>
    <w:basedOn w:val="Normal"/>
    <w:rsid w:val="00062C90"/>
    <w:pPr>
      <w:ind w:left="1800" w:hanging="360"/>
    </w:pPr>
  </w:style>
  <w:style w:type="character" w:customStyle="1" w:styleId="Heading2Char2">
    <w:name w:val="Heading 2 Char2"/>
    <w:aliases w:val="Heading 2 Char Char2,Heading 2 Char1 Char Char,Heading 2 Char Char Char Char,Heading 2 Char Char1 Char,Heading 2 Char1 Char Char Char Char Char,Heading 2 Char Char Char Char Char Char Char,Heading 2 Char1 Char1,Heading 2 Char Char Char1"/>
    <w:basedOn w:val="DefaultParagraphFont"/>
    <w:link w:val="Heading2"/>
    <w:uiPriority w:val="9"/>
    <w:rsid w:val="00062C90"/>
    <w:rPr>
      <w:rFonts w:asciiTheme="minorHAnsi" w:eastAsiaTheme="majorEastAsia" w:hAnsiTheme="minorHAnsi" w:cstheme="majorBidi"/>
      <w:kern w:val="20"/>
      <w:sz w:val="22"/>
      <w:szCs w:val="26"/>
      <w:lang w:eastAsia="ja-JP" w:bidi="en-US"/>
    </w:rPr>
  </w:style>
  <w:style w:type="character" w:customStyle="1" w:styleId="Heading3Char">
    <w:name w:val="Heading 3 Char"/>
    <w:basedOn w:val="DefaultParagraphFont"/>
    <w:link w:val="Heading3"/>
    <w:rsid w:val="00062C90"/>
    <w:rPr>
      <w:rFonts w:asciiTheme="minorHAnsi" w:eastAsiaTheme="majorEastAsia" w:hAnsiTheme="minorHAnsi" w:cstheme="majorBidi"/>
      <w:bCs/>
      <w:kern w:val="20"/>
      <w:sz w:val="22"/>
      <w:szCs w:val="22"/>
      <w:lang w:eastAsia="ja-JP"/>
    </w:rPr>
  </w:style>
  <w:style w:type="paragraph" w:styleId="EnvelopeAddress">
    <w:name w:val="envelope address"/>
    <w:basedOn w:val="Normal"/>
    <w:rsid w:val="00062C90"/>
    <w:pPr>
      <w:framePr w:w="7920" w:h="1980" w:hRule="exact" w:hSpace="180" w:wrap="auto" w:hAnchor="page" w:xAlign="center" w:yAlign="bottom"/>
      <w:ind w:left="2880"/>
    </w:pPr>
    <w:rPr>
      <w:rFonts w:ascii="Times New Roman" w:hAnsi="Times New Roman" w:cs="Arial"/>
    </w:rPr>
  </w:style>
  <w:style w:type="paragraph" w:styleId="EnvelopeReturn">
    <w:name w:val="envelope return"/>
    <w:basedOn w:val="Normal"/>
    <w:uiPriority w:val="99"/>
    <w:unhideWhenUsed/>
    <w:rsid w:val="00062C90"/>
    <w:rPr>
      <w:rFonts w:eastAsiaTheme="majorEastAsia" w:cstheme="majorBidi"/>
    </w:rPr>
  </w:style>
  <w:style w:type="character" w:customStyle="1" w:styleId="List2Char">
    <w:name w:val="List 2 Char"/>
    <w:basedOn w:val="DefaultParagraphFont"/>
    <w:link w:val="List2"/>
    <w:rsid w:val="00062C90"/>
    <w:rPr>
      <w:rFonts w:asciiTheme="minorHAnsi" w:eastAsia="MS Mincho" w:hAnsiTheme="minorHAnsi"/>
      <w:kern w:val="20"/>
      <w:sz w:val="22"/>
      <w:lang w:eastAsia="ja-JP"/>
    </w:rPr>
  </w:style>
  <w:style w:type="character" w:customStyle="1" w:styleId="List3Char">
    <w:name w:val="List 3 Char"/>
    <w:basedOn w:val="List2Char"/>
    <w:link w:val="List3"/>
    <w:rsid w:val="00062C90"/>
    <w:rPr>
      <w:rFonts w:asciiTheme="minorHAnsi" w:eastAsia="MS Mincho" w:hAnsiTheme="minorHAnsi"/>
      <w:kern w:val="20"/>
      <w:sz w:val="22"/>
      <w:lang w:eastAsia="ja-JP"/>
    </w:rPr>
  </w:style>
  <w:style w:type="character" w:customStyle="1" w:styleId="ListBullet2Char">
    <w:name w:val="List Bullet 2 Char"/>
    <w:link w:val="ListBullet20"/>
    <w:rsid w:val="00062C90"/>
    <w:rPr>
      <w:rFonts w:asciiTheme="minorHAnsi" w:eastAsia="MS Mincho" w:hAnsiTheme="minorHAnsi" w:cstheme="minorBidi"/>
      <w:kern w:val="20"/>
      <w:sz w:val="22"/>
      <w:szCs w:val="22"/>
      <w:lang w:eastAsia="ja-JP"/>
    </w:rPr>
  </w:style>
  <w:style w:type="table" w:styleId="TableGrid">
    <w:name w:val="Table Grid"/>
    <w:basedOn w:val="TableNormal"/>
    <w:uiPriority w:val="59"/>
    <w:rsid w:val="00062C9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40">
    <w:name w:val="List bullet4"/>
    <w:basedOn w:val="ListBullet5"/>
    <w:rsid w:val="00062C90"/>
    <w:pPr>
      <w:numPr>
        <w:numId w:val="0"/>
      </w:numPr>
    </w:pPr>
  </w:style>
  <w:style w:type="paragraph" w:customStyle="1" w:styleId="textmanuscriptCharCharCharChar">
    <w:name w:val="text (manuscript) Char Char Char Char"/>
    <w:rsid w:val="00062C90"/>
    <w:pPr>
      <w:spacing w:after="240"/>
      <w:ind w:left="360" w:firstLine="720"/>
    </w:pPr>
    <w:rPr>
      <w:rFonts w:ascii="Times" w:hAnsi="Times"/>
      <w:kern w:val="20"/>
      <w:sz w:val="24"/>
      <w:szCs w:val="24"/>
    </w:rPr>
  </w:style>
  <w:style w:type="paragraph" w:customStyle="1" w:styleId="textmanuscriptChar">
    <w:name w:val="text (manuscript) Char"/>
    <w:rsid w:val="00062C90"/>
    <w:pPr>
      <w:spacing w:after="240"/>
      <w:ind w:left="360" w:firstLine="720"/>
    </w:pPr>
    <w:rPr>
      <w:kern w:val="20"/>
      <w:sz w:val="24"/>
      <w:szCs w:val="24"/>
    </w:rPr>
  </w:style>
  <w:style w:type="paragraph" w:styleId="BalloonText">
    <w:name w:val="Balloon Text"/>
    <w:basedOn w:val="Normal"/>
    <w:link w:val="BalloonTextChar"/>
    <w:uiPriority w:val="99"/>
    <w:unhideWhenUsed/>
    <w:rsid w:val="00062C90"/>
    <w:rPr>
      <w:rFonts w:ascii="Tahoma" w:hAnsi="Tahoma" w:cs="Tahoma"/>
      <w:sz w:val="16"/>
      <w:szCs w:val="16"/>
    </w:rPr>
  </w:style>
  <w:style w:type="paragraph" w:customStyle="1" w:styleId="Grantparagraph">
    <w:name w:val="Grant paragraph"/>
    <w:basedOn w:val="textmanuscript"/>
    <w:rsid w:val="00062C90"/>
    <w:pPr>
      <w:tabs>
        <w:tab w:val="left" w:pos="432"/>
        <w:tab w:val="left" w:pos="864"/>
      </w:tabs>
    </w:pPr>
  </w:style>
  <w:style w:type="paragraph" w:customStyle="1" w:styleId="GrantParagraph0">
    <w:name w:val="Grant Paragraph"/>
    <w:basedOn w:val="NormalWeb"/>
    <w:rsid w:val="00062C90"/>
    <w:pPr>
      <w:spacing w:after="60"/>
    </w:pPr>
    <w:rPr>
      <w:color w:val="000000"/>
      <w:sz w:val="22"/>
    </w:rPr>
  </w:style>
  <w:style w:type="paragraph" w:styleId="NormalWeb">
    <w:name w:val="Normal (Web)"/>
    <w:basedOn w:val="Normal"/>
    <w:rsid w:val="00062C90"/>
    <w:rPr>
      <w:rFonts w:ascii="Times New Roman" w:hAnsi="Times New Roman"/>
      <w:sz w:val="24"/>
    </w:rPr>
  </w:style>
  <w:style w:type="paragraph" w:customStyle="1" w:styleId="Listbullet7">
    <w:name w:val="List bullet 7"/>
    <w:basedOn w:val="List"/>
    <w:next w:val="Listbullet6"/>
    <w:rsid w:val="00062C90"/>
    <w:pPr>
      <w:numPr>
        <w:numId w:val="10"/>
      </w:numPr>
      <w:tabs>
        <w:tab w:val="left" w:pos="2592"/>
      </w:tabs>
    </w:pPr>
  </w:style>
  <w:style w:type="character" w:customStyle="1" w:styleId="Heading1Char">
    <w:name w:val="Heading 1 Char"/>
    <w:basedOn w:val="DefaultParagraphFont"/>
    <w:link w:val="Heading1"/>
    <w:uiPriority w:val="9"/>
    <w:rsid w:val="00062C90"/>
    <w:rPr>
      <w:rFonts w:asciiTheme="majorHAnsi" w:eastAsiaTheme="majorEastAsia" w:hAnsiTheme="majorHAnsi"/>
      <w:b/>
      <w:kern w:val="20"/>
      <w:sz w:val="22"/>
      <w:szCs w:val="40"/>
      <w:lang w:eastAsia="ja-JP"/>
    </w:rPr>
  </w:style>
  <w:style w:type="paragraph" w:customStyle="1" w:styleId="ListBullet1">
    <w:name w:val="List Bullet1"/>
    <w:basedOn w:val="Normal"/>
    <w:qFormat/>
    <w:rsid w:val="00062C90"/>
    <w:pPr>
      <w:numPr>
        <w:numId w:val="31"/>
      </w:numPr>
      <w:tabs>
        <w:tab w:val="left" w:pos="720"/>
      </w:tabs>
      <w:outlineLvl w:val="0"/>
    </w:pPr>
  </w:style>
  <w:style w:type="paragraph" w:styleId="ListParagraph">
    <w:name w:val="List Paragraph"/>
    <w:aliases w:val="List bullet 2"/>
    <w:basedOn w:val="ListBullet60"/>
    <w:uiPriority w:val="34"/>
    <w:qFormat/>
    <w:rsid w:val="00062C90"/>
    <w:pPr>
      <w:ind w:left="0" w:firstLine="0"/>
    </w:pPr>
  </w:style>
  <w:style w:type="paragraph" w:customStyle="1" w:styleId="List1">
    <w:name w:val="List 1"/>
    <w:basedOn w:val="Normal"/>
    <w:link w:val="List1Char"/>
    <w:qFormat/>
    <w:rsid w:val="00062C90"/>
    <w:pPr>
      <w:tabs>
        <w:tab w:val="left" w:pos="360"/>
      </w:tabs>
      <w:ind w:left="720" w:hanging="360"/>
    </w:pPr>
  </w:style>
  <w:style w:type="character" w:customStyle="1" w:styleId="List1Char">
    <w:name w:val="List 1 Char"/>
    <w:link w:val="List1"/>
    <w:rsid w:val="00062C90"/>
    <w:rPr>
      <w:rFonts w:asciiTheme="minorHAnsi" w:eastAsia="MS Mincho" w:hAnsiTheme="minorHAnsi"/>
      <w:kern w:val="20"/>
      <w:sz w:val="22"/>
      <w:lang w:eastAsia="ja-JP"/>
    </w:rPr>
  </w:style>
  <w:style w:type="character" w:styleId="Strong">
    <w:name w:val="Strong"/>
    <w:qFormat/>
    <w:rsid w:val="00062C90"/>
    <w:rPr>
      <w:b/>
      <w:bCs/>
    </w:rPr>
  </w:style>
  <w:style w:type="character" w:styleId="Emphasis">
    <w:name w:val="Emphasis"/>
    <w:qFormat/>
    <w:rsid w:val="00062C90"/>
    <w:rPr>
      <w:i/>
      <w:iCs/>
    </w:rPr>
  </w:style>
  <w:style w:type="paragraph" w:styleId="CommentText">
    <w:name w:val="annotation text"/>
    <w:basedOn w:val="Normal"/>
    <w:link w:val="CommentTextChar"/>
    <w:rsid w:val="00062C90"/>
  </w:style>
  <w:style w:type="character" w:customStyle="1" w:styleId="CommentTextChar">
    <w:name w:val="Comment Text Char"/>
    <w:link w:val="CommentText"/>
    <w:rsid w:val="00062C90"/>
    <w:rPr>
      <w:rFonts w:asciiTheme="minorHAnsi" w:eastAsia="MS Mincho" w:hAnsiTheme="minorHAnsi"/>
      <w:kern w:val="20"/>
      <w:sz w:val="22"/>
      <w:lang w:eastAsia="ja-JP"/>
    </w:rPr>
  </w:style>
  <w:style w:type="character" w:styleId="CommentReference">
    <w:name w:val="annotation reference"/>
    <w:rsid w:val="00062C90"/>
    <w:rPr>
      <w:sz w:val="16"/>
      <w:szCs w:val="16"/>
    </w:rPr>
  </w:style>
  <w:style w:type="paragraph" w:styleId="BodyTextIndent3">
    <w:name w:val="Body Text Indent 3"/>
    <w:basedOn w:val="Normal"/>
    <w:link w:val="BodyTextIndent3Char"/>
    <w:rsid w:val="00062C90"/>
    <w:pPr>
      <w:ind w:left="1080"/>
    </w:pPr>
    <w:rPr>
      <w:rFonts w:ascii="Times New Roman" w:hAnsi="Times New Roman"/>
    </w:rPr>
  </w:style>
  <w:style w:type="character" w:customStyle="1" w:styleId="BodyTextIndent3Char">
    <w:name w:val="Body Text Indent 3 Char"/>
    <w:link w:val="BodyTextIndent3"/>
    <w:rsid w:val="00062C90"/>
    <w:rPr>
      <w:rFonts w:eastAsia="MS Mincho"/>
      <w:kern w:val="20"/>
      <w:sz w:val="22"/>
      <w:lang w:eastAsia="ja-JP"/>
    </w:rPr>
  </w:style>
  <w:style w:type="paragraph" w:styleId="PlainText">
    <w:name w:val="Plain Text"/>
    <w:basedOn w:val="Normal"/>
    <w:link w:val="PlainTextChar"/>
    <w:rsid w:val="00062C90"/>
    <w:rPr>
      <w:rFonts w:ascii="Courier New" w:hAnsi="Courier New" w:cs="Courier New"/>
    </w:rPr>
  </w:style>
  <w:style w:type="character" w:customStyle="1" w:styleId="PlainTextChar">
    <w:name w:val="Plain Text Char"/>
    <w:link w:val="PlainText"/>
    <w:rsid w:val="00062C90"/>
    <w:rPr>
      <w:rFonts w:ascii="Courier New" w:eastAsia="MS Mincho" w:hAnsi="Courier New" w:cs="Courier New"/>
      <w:kern w:val="20"/>
      <w:sz w:val="22"/>
      <w:lang w:eastAsia="ja-JP"/>
    </w:rPr>
  </w:style>
  <w:style w:type="paragraph" w:styleId="CommentSubject">
    <w:name w:val="annotation subject"/>
    <w:basedOn w:val="CommentText"/>
    <w:next w:val="CommentText"/>
    <w:link w:val="CommentSubjectChar"/>
    <w:rsid w:val="00062C90"/>
    <w:rPr>
      <w:b/>
      <w:bCs/>
    </w:rPr>
  </w:style>
  <w:style w:type="character" w:customStyle="1" w:styleId="CommentSubjectChar">
    <w:name w:val="Comment Subject Char"/>
    <w:link w:val="CommentSubject"/>
    <w:rsid w:val="00062C90"/>
    <w:rPr>
      <w:rFonts w:asciiTheme="minorHAnsi" w:eastAsia="MS Mincho" w:hAnsiTheme="minorHAnsi"/>
      <w:b/>
      <w:bCs/>
      <w:kern w:val="20"/>
      <w:sz w:val="22"/>
      <w:lang w:eastAsia="ja-JP"/>
    </w:rPr>
  </w:style>
  <w:style w:type="character" w:customStyle="1" w:styleId="BalloonTextChar">
    <w:name w:val="Balloon Text Char"/>
    <w:basedOn w:val="DefaultParagraphFont"/>
    <w:link w:val="BalloonText"/>
    <w:uiPriority w:val="99"/>
    <w:rsid w:val="00062C90"/>
    <w:rPr>
      <w:rFonts w:ascii="Tahoma" w:eastAsia="MS Mincho" w:hAnsi="Tahoma" w:cs="Tahoma"/>
      <w:kern w:val="20"/>
      <w:sz w:val="16"/>
      <w:szCs w:val="16"/>
      <w:lang w:eastAsia="ja-JP"/>
    </w:rPr>
  </w:style>
  <w:style w:type="character" w:customStyle="1" w:styleId="apple-style-span">
    <w:name w:val="apple-style-span"/>
    <w:basedOn w:val="DefaultParagraphFont"/>
    <w:rsid w:val="00062C90"/>
  </w:style>
  <w:style w:type="character" w:customStyle="1" w:styleId="ListBulletChar">
    <w:name w:val="List Bullet Char"/>
    <w:link w:val="ListBullet"/>
    <w:rsid w:val="00062C90"/>
    <w:rPr>
      <w:rFonts w:ascii="Calibri" w:eastAsia="Calibri" w:hAnsi="Calibri" w:cs="Calibri"/>
      <w:color w:val="000000"/>
      <w:sz w:val="22"/>
      <w:szCs w:val="22"/>
    </w:rPr>
  </w:style>
  <w:style w:type="paragraph" w:customStyle="1" w:styleId="Title2">
    <w:name w:val="Title2"/>
    <w:basedOn w:val="Normal"/>
    <w:rsid w:val="00062C90"/>
    <w:pPr>
      <w:spacing w:after="480" w:line="240" w:lineRule="exact"/>
      <w:jc w:val="center"/>
    </w:pPr>
    <w:rPr>
      <w:b/>
      <w:caps/>
      <w:sz w:val="24"/>
    </w:rPr>
  </w:style>
  <w:style w:type="paragraph" w:customStyle="1" w:styleId="ListBullet2">
    <w:name w:val="List Bullet2"/>
    <w:basedOn w:val="Normal"/>
    <w:qFormat/>
    <w:rsid w:val="00062C90"/>
    <w:pPr>
      <w:numPr>
        <w:numId w:val="11"/>
      </w:numPr>
    </w:pPr>
  </w:style>
  <w:style w:type="character" w:customStyle="1" w:styleId="VHAWLAGOETZM">
    <w:name w:val="VHAWLAGOETZM"/>
    <w:semiHidden/>
    <w:rsid w:val="00EC4A45"/>
    <w:rPr>
      <w:rFonts w:ascii="Arial" w:hAnsi="Arial" w:cs="Arial"/>
      <w:color w:val="000080"/>
      <w:sz w:val="20"/>
    </w:rPr>
  </w:style>
  <w:style w:type="paragraph" w:customStyle="1" w:styleId="Title3">
    <w:name w:val="Title3"/>
    <w:basedOn w:val="Normal"/>
    <w:rsid w:val="00062C90"/>
    <w:pPr>
      <w:spacing w:after="480" w:line="240" w:lineRule="exact"/>
      <w:jc w:val="center"/>
    </w:pPr>
    <w:rPr>
      <w:b/>
      <w:caps/>
      <w:sz w:val="24"/>
    </w:rPr>
  </w:style>
  <w:style w:type="paragraph" w:customStyle="1" w:styleId="ListBullet30">
    <w:name w:val="List Bullet3"/>
    <w:basedOn w:val="Normal"/>
    <w:qFormat/>
    <w:rsid w:val="00062C90"/>
    <w:pPr>
      <w:ind w:left="360" w:hanging="360"/>
    </w:pPr>
  </w:style>
  <w:style w:type="paragraph" w:customStyle="1" w:styleId="Title4">
    <w:name w:val="Title4"/>
    <w:basedOn w:val="Normal"/>
    <w:rsid w:val="00062C90"/>
    <w:pPr>
      <w:spacing w:after="480" w:line="240" w:lineRule="exact"/>
      <w:jc w:val="center"/>
    </w:pPr>
    <w:rPr>
      <w:b/>
      <w:caps/>
      <w:sz w:val="24"/>
    </w:rPr>
  </w:style>
  <w:style w:type="paragraph" w:customStyle="1" w:styleId="ListBullet43">
    <w:name w:val="List Bullet4"/>
    <w:basedOn w:val="Normal"/>
    <w:qFormat/>
    <w:rsid w:val="00062C90"/>
    <w:pPr>
      <w:ind w:left="360" w:hanging="360"/>
    </w:pPr>
  </w:style>
  <w:style w:type="paragraph" w:customStyle="1" w:styleId="Title5">
    <w:name w:val="Title5"/>
    <w:basedOn w:val="Normal"/>
    <w:rsid w:val="00062C90"/>
    <w:pPr>
      <w:spacing w:after="480" w:line="240" w:lineRule="exact"/>
      <w:jc w:val="center"/>
    </w:pPr>
    <w:rPr>
      <w:b/>
      <w:caps/>
      <w:sz w:val="24"/>
    </w:rPr>
  </w:style>
  <w:style w:type="paragraph" w:customStyle="1" w:styleId="ListBullet50">
    <w:name w:val="List Bullet5"/>
    <w:basedOn w:val="Normal"/>
    <w:qFormat/>
    <w:rsid w:val="00062C90"/>
    <w:pPr>
      <w:ind w:left="360" w:hanging="360"/>
    </w:pPr>
  </w:style>
  <w:style w:type="paragraph" w:customStyle="1" w:styleId="Title6">
    <w:name w:val="Title6"/>
    <w:basedOn w:val="Normal"/>
    <w:rsid w:val="00062C90"/>
    <w:pPr>
      <w:spacing w:after="480" w:line="240" w:lineRule="exact"/>
      <w:jc w:val="center"/>
    </w:pPr>
    <w:rPr>
      <w:b/>
      <w:caps/>
      <w:sz w:val="24"/>
    </w:rPr>
  </w:style>
  <w:style w:type="paragraph" w:customStyle="1" w:styleId="ListBullet60">
    <w:name w:val="List Bullet6"/>
    <w:basedOn w:val="Normal"/>
    <w:qFormat/>
    <w:rsid w:val="00062C90"/>
    <w:pPr>
      <w:ind w:left="360" w:hanging="360"/>
    </w:pPr>
  </w:style>
  <w:style w:type="character" w:customStyle="1" w:styleId="HeaderChar">
    <w:name w:val="Header Char"/>
    <w:basedOn w:val="DefaultParagraphFont"/>
    <w:link w:val="Header"/>
    <w:rsid w:val="00062C90"/>
    <w:rPr>
      <w:rFonts w:asciiTheme="minorHAnsi" w:eastAsia="MS Mincho" w:hAnsiTheme="minorHAnsi"/>
      <w:kern w:val="20"/>
      <w:sz w:val="22"/>
      <w:lang w:eastAsia="ja-JP"/>
    </w:rPr>
  </w:style>
  <w:style w:type="character" w:customStyle="1" w:styleId="FooterChar">
    <w:name w:val="Footer Char"/>
    <w:basedOn w:val="DefaultParagraphFont"/>
    <w:link w:val="Footer"/>
    <w:rsid w:val="00062C90"/>
    <w:rPr>
      <w:rFonts w:asciiTheme="minorHAnsi" w:eastAsia="MS Mincho" w:hAnsiTheme="minorHAnsi"/>
      <w:kern w:val="20"/>
      <w:sz w:val="22"/>
      <w:lang w:eastAsia="ja-JP"/>
    </w:rPr>
  </w:style>
  <w:style w:type="paragraph" w:styleId="Title">
    <w:name w:val="Title"/>
    <w:basedOn w:val="Normal"/>
    <w:link w:val="TitleChar"/>
    <w:uiPriority w:val="10"/>
    <w:qFormat/>
    <w:rsid w:val="00062C90"/>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062C90"/>
    <w:rPr>
      <w:rFonts w:asciiTheme="minorHAnsi" w:eastAsiaTheme="majorEastAsia" w:hAnsiTheme="minorHAnsi" w:cstheme="majorBidi"/>
      <w:b/>
      <w:bCs/>
      <w:kern w:val="28"/>
      <w:sz w:val="32"/>
      <w:szCs w:val="32"/>
      <w:lang w:eastAsia="ja-JP"/>
    </w:rPr>
  </w:style>
  <w:style w:type="character" w:customStyle="1" w:styleId="BodyTextChar">
    <w:name w:val="Body Text Char"/>
    <w:basedOn w:val="DefaultParagraphFont"/>
    <w:link w:val="BodyText"/>
    <w:uiPriority w:val="99"/>
    <w:rsid w:val="00062C90"/>
    <w:rPr>
      <w:rFonts w:asciiTheme="minorHAnsi" w:eastAsia="MS Mincho" w:hAnsiTheme="minorHAnsi"/>
      <w:kern w:val="20"/>
      <w:sz w:val="22"/>
      <w:lang w:eastAsia="ja-JP"/>
    </w:rPr>
  </w:style>
  <w:style w:type="paragraph" w:styleId="BodyTextIndent">
    <w:name w:val="Body Text Indent"/>
    <w:basedOn w:val="Normal"/>
    <w:link w:val="BodyTextIndentChar"/>
    <w:uiPriority w:val="99"/>
    <w:unhideWhenUsed/>
    <w:rsid w:val="00062C90"/>
    <w:pPr>
      <w:spacing w:after="120"/>
      <w:ind w:left="360"/>
    </w:pPr>
  </w:style>
  <w:style w:type="character" w:customStyle="1" w:styleId="BodyTextIndentChar">
    <w:name w:val="Body Text Indent Char"/>
    <w:basedOn w:val="DefaultParagraphFont"/>
    <w:link w:val="BodyTextIndent"/>
    <w:uiPriority w:val="99"/>
    <w:rsid w:val="00062C90"/>
    <w:rPr>
      <w:rFonts w:asciiTheme="minorHAnsi" w:eastAsia="MS Mincho" w:hAnsiTheme="minorHAnsi"/>
      <w:kern w:val="20"/>
      <w:sz w:val="22"/>
      <w:lang w:eastAsia="ja-JP"/>
    </w:rPr>
  </w:style>
  <w:style w:type="character" w:customStyle="1" w:styleId="Heading4Char">
    <w:name w:val="Heading 4 Char"/>
    <w:basedOn w:val="DefaultParagraphFont"/>
    <w:link w:val="Heading4"/>
    <w:uiPriority w:val="9"/>
    <w:rsid w:val="00062C90"/>
    <w:rPr>
      <w:rFonts w:asciiTheme="minorHAnsi" w:eastAsiaTheme="majorEastAsia" w:hAnsiTheme="minorHAnsi" w:cstheme="majorBidi"/>
      <w:bCs/>
      <w:iCs/>
      <w:kern w:val="20"/>
      <w:sz w:val="22"/>
      <w:szCs w:val="22"/>
      <w:lang w:eastAsia="ja-JP"/>
    </w:rPr>
  </w:style>
  <w:style w:type="character" w:customStyle="1" w:styleId="textmanuscriptChar1">
    <w:name w:val="text (manuscript) Char1"/>
    <w:basedOn w:val="DefaultParagraphFont"/>
    <w:link w:val="textmanuscript"/>
    <w:rsid w:val="00062C90"/>
    <w:rPr>
      <w:rFonts w:eastAsia="MS Mincho"/>
      <w:kern w:val="20"/>
      <w:sz w:val="22"/>
      <w:szCs w:val="22"/>
    </w:rPr>
  </w:style>
  <w:style w:type="character" w:customStyle="1" w:styleId="Heading5Char">
    <w:name w:val="Heading 5 Char"/>
    <w:basedOn w:val="DefaultParagraphFont"/>
    <w:link w:val="Heading5"/>
    <w:uiPriority w:val="9"/>
    <w:rsid w:val="00062C90"/>
    <w:rPr>
      <w:rFonts w:asciiTheme="minorHAnsi" w:eastAsiaTheme="majorEastAsia" w:hAnsiTheme="minorHAnsi" w:cstheme="majorBidi"/>
      <w:bCs/>
      <w:iCs/>
      <w:kern w:val="20"/>
      <w:sz w:val="22"/>
      <w:szCs w:val="22"/>
      <w:lang w:eastAsia="ja-JP"/>
    </w:rPr>
  </w:style>
  <w:style w:type="character" w:customStyle="1" w:styleId="Heading6Char">
    <w:name w:val="Heading 6 Char"/>
    <w:basedOn w:val="DefaultParagraphFont"/>
    <w:link w:val="Heading6"/>
    <w:uiPriority w:val="9"/>
    <w:rsid w:val="00062C90"/>
    <w:rPr>
      <w:rFonts w:asciiTheme="minorHAnsi" w:eastAsiaTheme="majorEastAsia" w:hAnsiTheme="minorHAnsi" w:cstheme="majorBidi"/>
      <w:bCs/>
      <w:iCs/>
      <w:color w:val="000000" w:themeColor="text1"/>
      <w:kern w:val="32"/>
      <w:sz w:val="22"/>
      <w:szCs w:val="22"/>
      <w:lang w:eastAsia="ja-JP"/>
    </w:rPr>
  </w:style>
  <w:style w:type="character" w:customStyle="1" w:styleId="Heading7Char">
    <w:name w:val="Heading 7 Char"/>
    <w:basedOn w:val="DefaultParagraphFont"/>
    <w:link w:val="Heading7"/>
    <w:uiPriority w:val="9"/>
    <w:rsid w:val="00062C90"/>
    <w:rPr>
      <w:rFonts w:asciiTheme="minorHAnsi" w:eastAsiaTheme="majorEastAsia" w:hAnsiTheme="minorHAnsi" w:cstheme="majorBidi"/>
      <w:iCs/>
      <w:color w:val="243F60" w:themeColor="accent1" w:themeShade="7F"/>
      <w:kern w:val="20"/>
      <w:sz w:val="22"/>
      <w:szCs w:val="22"/>
      <w:lang w:eastAsia="ja-JP"/>
    </w:rPr>
  </w:style>
  <w:style w:type="paragraph" w:customStyle="1" w:styleId="Pa38">
    <w:name w:val="Pa38"/>
    <w:basedOn w:val="Normal"/>
    <w:next w:val="Normal"/>
    <w:uiPriority w:val="99"/>
    <w:rsid w:val="00062C90"/>
    <w:pPr>
      <w:autoSpaceDE w:val="0"/>
      <w:autoSpaceDN w:val="0"/>
      <w:adjustRightInd w:val="0"/>
      <w:spacing w:line="161" w:lineRule="atLeast"/>
    </w:pPr>
    <w:rPr>
      <w:rFonts w:ascii="Myriad Pro" w:hAnsi="Myriad Pro"/>
      <w:sz w:val="24"/>
    </w:rPr>
  </w:style>
  <w:style w:type="paragraph" w:customStyle="1" w:styleId="Pa36">
    <w:name w:val="Pa36"/>
    <w:basedOn w:val="Normal"/>
    <w:next w:val="Normal"/>
    <w:uiPriority w:val="99"/>
    <w:rsid w:val="00062C90"/>
    <w:pPr>
      <w:autoSpaceDE w:val="0"/>
      <w:autoSpaceDN w:val="0"/>
      <w:adjustRightInd w:val="0"/>
      <w:spacing w:line="161" w:lineRule="atLeast"/>
    </w:pPr>
    <w:rPr>
      <w:rFonts w:ascii="Myriad Pro Light" w:hAnsi="Myriad Pro Light"/>
      <w:sz w:val="24"/>
    </w:rPr>
  </w:style>
  <w:style w:type="paragraph" w:styleId="NormalIndent">
    <w:name w:val="Normal Indent"/>
    <w:basedOn w:val="Normal"/>
    <w:uiPriority w:val="99"/>
    <w:unhideWhenUsed/>
    <w:rsid w:val="00062C90"/>
  </w:style>
  <w:style w:type="paragraph" w:customStyle="1" w:styleId="ListBullet41">
    <w:name w:val="List Bullet 41"/>
    <w:basedOn w:val="ListBullet5"/>
    <w:rsid w:val="00062C90"/>
    <w:pPr>
      <w:numPr>
        <w:numId w:val="47"/>
      </w:numPr>
      <w:tabs>
        <w:tab w:val="left" w:pos="1440"/>
        <w:tab w:val="left" w:pos="1800"/>
        <w:tab w:val="left" w:pos="2160"/>
      </w:tabs>
      <w:contextualSpacing w:val="0"/>
    </w:pPr>
    <w:rPr>
      <w:rFonts w:ascii="Calibri" w:hAnsi="Calibri"/>
      <w:bCs/>
      <w:szCs w:val="36"/>
    </w:rPr>
  </w:style>
  <w:style w:type="paragraph" w:customStyle="1" w:styleId="ListBullet21">
    <w:name w:val="List Bullet 21"/>
    <w:basedOn w:val="ListBullet"/>
    <w:link w:val="Listbullet2Char0"/>
    <w:qFormat/>
    <w:rsid w:val="00062C90"/>
    <w:pPr>
      <w:numPr>
        <w:numId w:val="32"/>
      </w:numPr>
      <w:tabs>
        <w:tab w:val="left" w:pos="720"/>
      </w:tabs>
    </w:pPr>
    <w:rPr>
      <w:rFonts w:ascii="Arial" w:hAnsi="Arial" w:cs="Arial"/>
    </w:rPr>
  </w:style>
  <w:style w:type="character" w:customStyle="1" w:styleId="Listbullet2Char0">
    <w:name w:val="List bullet 2 Char"/>
    <w:link w:val="ListBullet21"/>
    <w:rsid w:val="00062C90"/>
    <w:rPr>
      <w:rFonts w:ascii="Arial" w:eastAsia="Calibri" w:hAnsi="Arial" w:cs="Arial"/>
      <w:color w:val="000000"/>
      <w:sz w:val="22"/>
      <w:szCs w:val="22"/>
    </w:rPr>
  </w:style>
  <w:style w:type="paragraph" w:customStyle="1" w:styleId="ListBullet42">
    <w:name w:val="List Bullet 42"/>
    <w:basedOn w:val="ListBullet20"/>
    <w:rsid w:val="00062C90"/>
    <w:pPr>
      <w:numPr>
        <w:numId w:val="34"/>
      </w:numPr>
      <w:tabs>
        <w:tab w:val="left" w:pos="1080"/>
        <w:tab w:val="left" w:pos="1440"/>
      </w:tabs>
    </w:pPr>
  </w:style>
  <w:style w:type="paragraph" w:customStyle="1" w:styleId="StyleHeading3Underline">
    <w:name w:val="Style Heading 3 + Underline"/>
    <w:basedOn w:val="Heading3"/>
    <w:rsid w:val="00062C90"/>
    <w:pPr>
      <w:tabs>
        <w:tab w:val="clear" w:pos="1080"/>
        <w:tab w:val="left" w:pos="720"/>
      </w:tabs>
    </w:pPr>
    <w:rPr>
      <w:bCs w:val="0"/>
      <w:u w:val="single"/>
    </w:rPr>
  </w:style>
  <w:style w:type="character" w:customStyle="1" w:styleId="Heading8Char">
    <w:name w:val="Heading 8 Char"/>
    <w:basedOn w:val="DefaultParagraphFont"/>
    <w:link w:val="Heading8"/>
    <w:rsid w:val="00062C90"/>
    <w:rPr>
      <w:rFonts w:asciiTheme="minorHAnsi" w:eastAsia="MS Mincho" w:hAnsiTheme="minorHAnsi"/>
      <w:kern w:val="20"/>
      <w:sz w:val="22"/>
      <w:lang w:eastAsia="ja-JP"/>
    </w:rPr>
  </w:style>
  <w:style w:type="character" w:customStyle="1" w:styleId="Heading9Char">
    <w:name w:val="Heading 9 Char"/>
    <w:basedOn w:val="DefaultParagraphFont"/>
    <w:link w:val="Heading9"/>
    <w:rsid w:val="00062C90"/>
    <w:rPr>
      <w:rFonts w:asciiTheme="minorHAnsi" w:eastAsia="MS Mincho" w:hAnsiTheme="minorHAnsi"/>
      <w:b/>
      <w:bCs/>
      <w:snapToGrid w:val="0"/>
      <w:kern w:val="20"/>
      <w:sz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dsinfo.nih.gov/guidelines/html/3/perinatal-guidelines/0/" TargetMode="External"/><Relationship Id="rId13" Type="http://schemas.openxmlformats.org/officeDocument/2006/relationships/hyperlink" Target="http://www.hivguidelines.org/clinical-guidelines/post-exposure-prophylaxis/hiv-prophylaxis-following-occupational-exposure/" TargetMode="External"/><Relationship Id="rId3" Type="http://schemas.openxmlformats.org/officeDocument/2006/relationships/settings" Target="settings.xml"/><Relationship Id="rId7" Type="http://schemas.openxmlformats.org/officeDocument/2006/relationships/hyperlink" Target="http://www.cdc.gov/mmwr/preview/mmwrhtml/00054952.htm" TargetMode="External"/><Relationship Id="rId12" Type="http://schemas.openxmlformats.org/officeDocument/2006/relationships/hyperlink" Target="http://hivinsite.ucsf.edu/InSite?page=kb-authors&amp;doc=kb-07-0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1545</Words>
  <Characters>9949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GLA n-PEP</vt:lpstr>
    </vt:vector>
  </TitlesOfParts>
  <Company>Dell Computer Corporation</Company>
  <LinksUpToDate>false</LinksUpToDate>
  <CharactersWithSpaces>11472</CharactersWithSpaces>
  <SharedDoc>false</SharedDoc>
  <HLinks>
    <vt:vector size="18" baseType="variant">
      <vt:variant>
        <vt:i4>655443</vt:i4>
      </vt:variant>
      <vt:variant>
        <vt:i4>6</vt:i4>
      </vt:variant>
      <vt:variant>
        <vt:i4>0</vt:i4>
      </vt:variant>
      <vt:variant>
        <vt:i4>5</vt:i4>
      </vt:variant>
      <vt:variant>
        <vt:lpwstr>http://www.cdc.gov/mmwr/preview/mmwrhtml/rr5402a1.htm</vt:lpwstr>
      </vt:variant>
      <vt:variant>
        <vt:lpwstr/>
      </vt:variant>
      <vt:variant>
        <vt:i4>4915264</vt:i4>
      </vt:variant>
      <vt:variant>
        <vt:i4>3</vt:i4>
      </vt:variant>
      <vt:variant>
        <vt:i4>0</vt:i4>
      </vt:variant>
      <vt:variant>
        <vt:i4>5</vt:i4>
      </vt:variant>
      <vt:variant>
        <vt:lpwstr>http://hivinsite.ucsf.edu/InSite?page=kb-authors&amp;doc=kb-07-02-07</vt:lpwstr>
      </vt:variant>
      <vt:variant>
        <vt:lpwstr/>
      </vt:variant>
      <vt:variant>
        <vt:i4>1900568</vt:i4>
      </vt:variant>
      <vt:variant>
        <vt:i4>0</vt:i4>
      </vt:variant>
      <vt:variant>
        <vt:i4>0</vt:i4>
      </vt:variant>
      <vt:variant>
        <vt:i4>5</vt:i4>
      </vt:variant>
      <vt:variant>
        <vt:lpwstr>http://www.cdc.gov/mmwr/preview/mmwrhtml/00054952.htm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 n-PEP</dc:title>
  <dc:creator>Matthew Bidwell Goetz</dc:creator>
  <cp:lastModifiedBy>Goetz, Matthew</cp:lastModifiedBy>
  <cp:revision>5</cp:revision>
  <cp:lastPrinted>2018-02-22T04:59:00Z</cp:lastPrinted>
  <dcterms:created xsi:type="dcterms:W3CDTF">2020-01-29T20:53:00Z</dcterms:created>
  <dcterms:modified xsi:type="dcterms:W3CDTF">2020-01-30T00:44:00Z</dcterms:modified>
</cp:coreProperties>
</file>